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MuseumSztukiNovo5-SemiBold"/>
          <w:b w:val="1"/>
          <w:bCs w:val="1"/>
        </w:rPr>
      </w:pPr>
      <w:r>
        <w:rPr>
          <w:rFonts w:ascii="MuseumSztukiNovo5-SemiBold"/>
          <w:b w:val="1"/>
          <w:bCs w:val="1"/>
          <w:rtl w:val="0"/>
        </w:rPr>
        <w:drawing>
          <wp:anchor distT="152400" distB="152400" distL="152400" distR="152400" simplePos="0" relativeHeight="251659264" behindDoc="0" locked="0" layoutInCell="1" allowOverlap="1">
            <wp:simplePos x="0" y="0"/>
            <wp:positionH relativeFrom="page">
              <wp:posOffset>4486909</wp:posOffset>
            </wp:positionH>
            <wp:positionV relativeFrom="line">
              <wp:posOffset>331469</wp:posOffset>
            </wp:positionV>
            <wp:extent cx="2072364" cy="2072364"/>
            <wp:effectExtent l="0" t="0" r="0" b="0"/>
            <wp:wrapThrough wrapText="bothSides" distL="152400" distR="152400">
              <wp:wrapPolygon edited="1">
                <wp:start x="10695" y="612"/>
                <wp:lineTo x="9661" y="675"/>
                <wp:lineTo x="8205" y="949"/>
                <wp:lineTo x="6687" y="1477"/>
                <wp:lineTo x="5358" y="2194"/>
                <wp:lineTo x="4155" y="3080"/>
                <wp:lineTo x="2932" y="4345"/>
                <wp:lineTo x="2067" y="5569"/>
                <wp:lineTo x="1392" y="6898"/>
                <wp:lineTo x="886" y="8437"/>
                <wp:lineTo x="633" y="10104"/>
                <wp:lineTo x="675" y="11960"/>
                <wp:lineTo x="949" y="13416"/>
                <wp:lineTo x="1477" y="14934"/>
                <wp:lineTo x="2194" y="16263"/>
                <wp:lineTo x="3080" y="17466"/>
                <wp:lineTo x="4240" y="18605"/>
                <wp:lineTo x="5463" y="19491"/>
                <wp:lineTo x="6792" y="20187"/>
                <wp:lineTo x="8290" y="20693"/>
                <wp:lineTo x="9872" y="20967"/>
                <wp:lineTo x="11749" y="20967"/>
                <wp:lineTo x="13184" y="20735"/>
                <wp:lineTo x="14576" y="20292"/>
                <wp:lineTo x="15841" y="19680"/>
                <wp:lineTo x="17107" y="18837"/>
                <wp:lineTo x="18162" y="17866"/>
                <wp:lineTo x="19048" y="16812"/>
                <wp:lineTo x="19870" y="15504"/>
                <wp:lineTo x="20482" y="14048"/>
                <wp:lineTo x="20862" y="12551"/>
                <wp:lineTo x="21009" y="10927"/>
                <wp:lineTo x="20904" y="9323"/>
                <wp:lineTo x="20566" y="7826"/>
                <wp:lineTo x="20081" y="6602"/>
                <wp:lineTo x="20060" y="3607"/>
                <wp:lineTo x="20060" y="7509"/>
                <wp:lineTo x="20313" y="8290"/>
                <wp:lineTo x="20587" y="9787"/>
                <wp:lineTo x="20609" y="11623"/>
                <wp:lineTo x="20419" y="12888"/>
                <wp:lineTo x="20060" y="14091"/>
                <wp:lineTo x="20060" y="7509"/>
                <wp:lineTo x="20060" y="3607"/>
                <wp:lineTo x="20039" y="612"/>
                <wp:lineTo x="16537" y="612"/>
                <wp:lineTo x="16179" y="2130"/>
                <wp:lineTo x="15652" y="1835"/>
                <wp:lineTo x="14597" y="1364"/>
                <wp:lineTo x="14618" y="1772"/>
                <wp:lineTo x="16073" y="2510"/>
                <wp:lineTo x="15441" y="5147"/>
                <wp:lineTo x="14597" y="1772"/>
                <wp:lineTo x="14618" y="1772"/>
                <wp:lineTo x="14597" y="1364"/>
                <wp:lineTo x="14470" y="1308"/>
                <wp:lineTo x="14302" y="612"/>
                <wp:lineTo x="10821" y="612"/>
                <wp:lineTo x="10821" y="1012"/>
                <wp:lineTo x="10821" y="14766"/>
                <wp:lineTo x="13648" y="14766"/>
                <wp:lineTo x="13648" y="9661"/>
                <wp:lineTo x="15420" y="15040"/>
                <wp:lineTo x="17002" y="9766"/>
                <wp:lineTo x="17023" y="14766"/>
                <wp:lineTo x="19786" y="14766"/>
                <wp:lineTo x="19174" y="15968"/>
                <wp:lineTo x="18288" y="17191"/>
                <wp:lineTo x="17255" y="18225"/>
                <wp:lineTo x="16031" y="19132"/>
                <wp:lineTo x="14766" y="19807"/>
                <wp:lineTo x="13331" y="20313"/>
                <wp:lineTo x="11834" y="20587"/>
                <wp:lineTo x="9787" y="20587"/>
                <wp:lineTo x="8459" y="20355"/>
                <wp:lineTo x="7087" y="19912"/>
                <wp:lineTo x="5716" y="19216"/>
                <wp:lineTo x="4430" y="18288"/>
                <wp:lineTo x="3396" y="17255"/>
                <wp:lineTo x="2489" y="16031"/>
                <wp:lineTo x="1814" y="14766"/>
                <wp:lineTo x="1308" y="13331"/>
                <wp:lineTo x="1034" y="11834"/>
                <wp:lineTo x="1012" y="9998"/>
                <wp:lineTo x="1223" y="8627"/>
                <wp:lineTo x="1666" y="7193"/>
                <wp:lineTo x="2320" y="5864"/>
                <wp:lineTo x="3143" y="4662"/>
                <wp:lineTo x="4155" y="3586"/>
                <wp:lineTo x="5358" y="2637"/>
                <wp:lineTo x="6666" y="1898"/>
                <wp:lineTo x="8058" y="1371"/>
                <wp:lineTo x="9598" y="1055"/>
                <wp:lineTo x="10821" y="1012"/>
                <wp:lineTo x="10821" y="612"/>
                <wp:lineTo x="10695" y="6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072364" cy="2072364"/>
                    </a:xfrm>
                    <a:prstGeom prst="rect">
                      <a:avLst/>
                    </a:prstGeom>
                    <a:ln w="12700" cap="flat">
                      <a:noFill/>
                      <a:miter lim="400000"/>
                    </a:ln>
                    <a:effectLst/>
                  </pic:spPr>
                </pic:pic>
              </a:graphicData>
            </a:graphic>
          </wp:anchor>
        </w:drawing>
      </w: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rPr>
          <w:rFonts w:ascii="MuseumSztukiNovo5-SemiBold"/>
          <w:b w:val="1"/>
          <w:bCs w:val="1"/>
          <w:sz w:val="38"/>
          <w:szCs w:val="38"/>
        </w:rPr>
      </w:pPr>
    </w:p>
    <w:p>
      <w:pPr>
        <w:pStyle w:val="Heading 1"/>
        <w:spacing w:line="288" w:lineRule="auto"/>
        <w:rPr>
          <w:rFonts w:ascii="MuseumSztukiNovo5-SemiBold" w:cs="MuseumSztukiNovo5-SemiBold" w:hAnsi="MuseumSztukiNovo5-SemiBold" w:eastAsia="MuseumSztukiNovo5-SemiBold"/>
          <w:b w:val="1"/>
          <w:bCs w:val="1"/>
          <w:sz w:val="38"/>
          <w:szCs w:val="38"/>
        </w:rPr>
      </w:pPr>
      <w:r>
        <w:rPr>
          <w:rFonts w:ascii="MuseumSztukiNovo5-SemiBold"/>
          <w:b w:val="1"/>
          <w:bCs w:val="1"/>
          <w:sz w:val="38"/>
          <w:szCs w:val="38"/>
          <w:rtl w:val="0"/>
          <w:lang w:val="en-US"/>
        </w:rPr>
        <w:t>The Second Polish Exhibition of Graphic Symbols</w:t>
      </w:r>
    </w:p>
    <w:p>
      <w:pPr>
        <w:pStyle w:val="Default"/>
        <w:spacing w:line="288" w:lineRule="auto"/>
        <w:rPr>
          <w:rFonts w:ascii="MuseumSztukiNovo5-SemiBold" w:cs="MuseumSztukiNovo5-SemiBold" w:hAnsi="MuseumSztukiNovo5-SemiBold" w:eastAsia="MuseumSztukiNovo5-SemiBold"/>
          <w:b w:val="1"/>
          <w:bCs w:val="1"/>
        </w:rPr>
      </w:pPr>
    </w:p>
    <w:p>
      <w:pPr>
        <w:pStyle w:val="Default"/>
        <w:spacing w:line="288" w:lineRule="auto"/>
        <w:rPr>
          <w:rFonts w:ascii="MuseumSztukiNovo5-SemiBold" w:cs="MuseumSztukiNovo5-SemiBold" w:hAnsi="MuseumSztukiNovo5-SemiBold" w:eastAsia="MuseumSztukiNovo5-SemiBold"/>
          <w:b w:val="1"/>
          <w:bCs w:val="1"/>
        </w:rPr>
      </w:pPr>
    </w:p>
    <w:p>
      <w:pPr>
        <w:pStyle w:val="Default"/>
        <w:spacing w:line="288" w:lineRule="auto"/>
        <w:rPr>
          <w:rFonts w:ascii="MuseumSztukiNovo5-SemiBold" w:cs="MuseumSztukiNovo5-SemiBold" w:hAnsi="MuseumSztukiNovo5-SemiBold" w:eastAsia="MuseumSztukiNovo5-SemiBold"/>
          <w:b w:val="1"/>
          <w:bCs w:val="1"/>
          <w:sz w:val="28"/>
          <w:szCs w:val="28"/>
        </w:rPr>
      </w:pPr>
    </w:p>
    <w:p>
      <w:pPr>
        <w:pStyle w:val="Default"/>
        <w:spacing w:line="288" w:lineRule="auto"/>
        <w:rPr>
          <w:rFonts w:ascii="MuseumSztukiNovo5-SemiBold" w:cs="MuseumSztukiNovo5-SemiBold" w:hAnsi="MuseumSztukiNovo5-SemiBold" w:eastAsia="MuseumSztukiNovo5-SemiBold"/>
          <w:b w:val="1"/>
          <w:bCs w:val="1"/>
          <w:sz w:val="28"/>
          <w:szCs w:val="28"/>
        </w:rPr>
      </w:pPr>
      <w:r>
        <w:rPr>
          <w:rFonts w:ascii="MuseumSztukiNovo5-SemiBold"/>
          <w:b w:val="1"/>
          <w:bCs w:val="1"/>
          <w:sz w:val="28"/>
          <w:szCs w:val="28"/>
          <w:rtl w:val="0"/>
          <w:lang w:val="en-US"/>
        </w:rPr>
        <w:t xml:space="preserve">November 10 </w:t>
      </w:r>
      <w:r>
        <w:rPr>
          <w:rFonts w:hAnsi="MuseumSztukiNovo5-SemiBold" w:hint="default"/>
          <w:b w:val="1"/>
          <w:bCs w:val="1"/>
          <w:sz w:val="28"/>
          <w:szCs w:val="28"/>
          <w:rtl w:val="0"/>
          <w:lang w:val="en-US"/>
        </w:rPr>
        <w:t xml:space="preserve">– </w:t>
      </w:r>
      <w:r>
        <w:rPr>
          <w:rFonts w:ascii="MuseumSztukiNovo5-SemiBold"/>
          <w:b w:val="1"/>
          <w:bCs w:val="1"/>
          <w:sz w:val="28"/>
          <w:szCs w:val="28"/>
          <w:rtl w:val="0"/>
          <w:lang w:val="en-US"/>
        </w:rPr>
        <w:t xml:space="preserve">January </w:t>
      </w:r>
      <w:r>
        <w:rPr>
          <w:rFonts w:ascii="MuseumSztukiNovo5-SemiBold"/>
          <w:b w:val="1"/>
          <w:bCs w:val="1"/>
          <w:sz w:val="28"/>
          <w:szCs w:val="28"/>
          <w:rtl w:val="0"/>
          <w:lang w:val="en-US"/>
        </w:rPr>
        <w:t>31,</w:t>
      </w:r>
      <w:r>
        <w:rPr>
          <w:rFonts w:ascii="MuseumSztukiNovo5-SemiBold"/>
          <w:b w:val="1"/>
          <w:bCs w:val="1"/>
          <w:sz w:val="28"/>
          <w:szCs w:val="28"/>
          <w:rtl w:val="0"/>
          <w:lang w:val="en-US"/>
        </w:rPr>
        <w:t xml:space="preserve"> 2016</w:t>
      </w:r>
    </w:p>
    <w:p>
      <w:pPr>
        <w:pStyle w:val="Default"/>
        <w:spacing w:line="288" w:lineRule="auto"/>
        <w:rPr>
          <w:rFonts w:ascii="MuseumSztukiNovo5-SemiBold" w:cs="MuseumSztukiNovo5-SemiBold" w:hAnsi="MuseumSztukiNovo5-SemiBold" w:eastAsia="MuseumSztukiNovo5-SemiBold"/>
          <w:b w:val="1"/>
          <w:bCs w:val="1"/>
          <w:sz w:val="28"/>
          <w:szCs w:val="28"/>
        </w:rPr>
      </w:pPr>
    </w:p>
    <w:p>
      <w:pPr>
        <w:pStyle w:val="Default"/>
        <w:spacing w:line="288" w:lineRule="auto"/>
        <w:rPr>
          <w:rFonts w:ascii="MuseumSztukiNovo5-SemiBold" w:cs="MuseumSztukiNovo5-SemiBold" w:hAnsi="MuseumSztukiNovo5-SemiBold" w:eastAsia="MuseumSztukiNovo5-SemiBold"/>
          <w:b w:val="1"/>
          <w:bCs w:val="1"/>
          <w:sz w:val="28"/>
          <w:szCs w:val="28"/>
        </w:rPr>
      </w:pPr>
    </w:p>
    <w:p>
      <w:pPr>
        <w:pStyle w:val="Default"/>
        <w:spacing w:line="288" w:lineRule="auto"/>
        <w:rPr>
          <w:rFonts w:ascii="MuseumSztukiNovo5-SemiBold" w:cs="MuseumSztukiNovo5-SemiBold" w:hAnsi="MuseumSztukiNovo5-SemiBold" w:eastAsia="MuseumSztukiNovo5-SemiBold"/>
          <w:b w:val="1"/>
          <w:bCs w:val="1"/>
          <w:sz w:val="28"/>
          <w:szCs w:val="28"/>
        </w:rPr>
      </w:pPr>
      <w:r>
        <w:rPr>
          <w:rFonts w:ascii="MuseumSztukiNovo5-SemiBold"/>
          <w:b w:val="1"/>
          <w:bCs w:val="1"/>
          <w:sz w:val="28"/>
          <w:szCs w:val="28"/>
          <w:rtl w:val="0"/>
          <w:lang w:val="en-US"/>
        </w:rPr>
        <w:t>Opening: November 13, 2015, 7 p.m.</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rtl w:val="0"/>
          <w:lang w:val="en-US"/>
        </w:rPr>
        <w:t xml:space="preserve">The Second Polish Exhibition of Graphic Symbols will present a cross-section of Polish logos and visual communication systems. The viewers will have the opportunity to take a look back at iconic designs from 1945 </w:t>
      </w:r>
      <w:r>
        <w:rPr>
          <w:rFonts w:hAnsi="Theinhardt Light" w:hint="default"/>
          <w:sz w:val="24"/>
          <w:szCs w:val="24"/>
          <w:rtl w:val="0"/>
          <w:lang w:val="en-US"/>
        </w:rPr>
        <w:t xml:space="preserve">– </w:t>
      </w:r>
      <w:r>
        <w:rPr>
          <w:rFonts w:ascii="Theinhardt Light"/>
          <w:sz w:val="24"/>
          <w:szCs w:val="24"/>
          <w:rtl w:val="0"/>
          <w:lang w:val="en-US"/>
        </w:rPr>
        <w:t>1969 and learn about the history of Polish graphic design, but also to confront the achievements of our design masters with the most recent works in this field.</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rtl w:val="0"/>
          <w:lang w:val="en-US"/>
        </w:rPr>
        <w:t xml:space="preserve">The first part of the exhibition is a reconstruction of the legendary First Polish Exhibition of Graphic Symbols from 1969. Hosted by the Association of Polish Artists and Designers in Warsaw, it displayed 335 designs selected by a Qualifying Committee from a number of mailed-in applications. It included the logo designs of Pekao, Moda Polska, CPN, Unitra, Dom Handlowy </w:t>
      </w:r>
      <w:r>
        <w:rPr>
          <w:rFonts w:hAnsi="Theinhardt Light" w:hint="default"/>
          <w:sz w:val="24"/>
          <w:szCs w:val="24"/>
          <w:rtl w:val="0"/>
          <w:lang w:val="en-US"/>
        </w:rPr>
        <w:t>“</w:t>
      </w:r>
      <w:r>
        <w:rPr>
          <w:rFonts w:ascii="Theinhardt Light"/>
          <w:sz w:val="24"/>
          <w:szCs w:val="24"/>
          <w:rtl w:val="0"/>
          <w:lang w:val="en-US"/>
        </w:rPr>
        <w:t>Telimena</w:t>
      </w:r>
      <w:r>
        <w:rPr>
          <w:rFonts w:hAnsi="Theinhardt Light" w:hint="default"/>
          <w:sz w:val="24"/>
          <w:szCs w:val="24"/>
          <w:rtl w:val="0"/>
          <w:lang w:val="en-US"/>
        </w:rPr>
        <w:t xml:space="preserve">” </w:t>
      </w:r>
      <w:r>
        <w:rPr>
          <w:rFonts w:ascii="Theinhardt Light"/>
          <w:sz w:val="24"/>
          <w:szCs w:val="24"/>
          <w:rtl w:val="0"/>
          <w:lang w:val="en-US"/>
        </w:rPr>
        <w:t>and many other iconic images created by designers such as Ryszard Bojar, Roman Duszek, Jan Hollender, Emilia No</w:t>
      </w:r>
      <w:r>
        <w:rPr>
          <w:rFonts w:hAnsi="Theinhardt Light" w:hint="default"/>
          <w:sz w:val="24"/>
          <w:szCs w:val="24"/>
          <w:rtl w:val="0"/>
          <w:lang w:val="en-US"/>
        </w:rPr>
        <w:t>ż</w:t>
      </w:r>
      <w:r>
        <w:rPr>
          <w:rFonts w:ascii="Theinhardt Light"/>
          <w:sz w:val="24"/>
          <w:szCs w:val="24"/>
          <w:rtl w:val="0"/>
          <w:lang w:val="en-US"/>
        </w:rPr>
        <w:t xml:space="preserve">ko-Paprocka, Karol </w:t>
      </w:r>
      <w:r>
        <w:rPr>
          <w:rFonts w:hAnsi="Theinhardt Light" w:hint="default"/>
          <w:sz w:val="24"/>
          <w:szCs w:val="24"/>
          <w:rtl w:val="0"/>
          <w:lang w:val="en-US"/>
        </w:rPr>
        <w:t>Ś</w:t>
      </w:r>
      <w:r>
        <w:rPr>
          <w:rFonts w:ascii="Theinhardt Light"/>
          <w:sz w:val="24"/>
          <w:szCs w:val="24"/>
          <w:rtl w:val="0"/>
          <w:lang w:val="en-US"/>
        </w:rPr>
        <w:t>liwka or Leon Urba</w:t>
      </w:r>
      <w:r>
        <w:rPr>
          <w:rFonts w:hAnsi="Theinhardt Light" w:hint="default"/>
          <w:sz w:val="24"/>
          <w:szCs w:val="24"/>
          <w:rtl w:val="0"/>
          <w:lang w:val="en-US"/>
        </w:rPr>
        <w:t>ń</w:t>
      </w:r>
      <w:r>
        <w:rPr>
          <w:rFonts w:ascii="Theinhardt Light"/>
          <w:sz w:val="24"/>
          <w:szCs w:val="24"/>
          <w:rtl w:val="0"/>
          <w:lang w:val="en-US"/>
        </w:rPr>
        <w:t>ski.</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rtl w:val="0"/>
          <w:lang w:val="en-US"/>
        </w:rPr>
        <w:t>The second part of the exhibition includes 335 recent designs created between 2000 and 2015, selected by the exhibition's Consultants' Council and Commissioners (</w:t>
      </w:r>
      <w:r>
        <w:rPr>
          <w:rFonts w:ascii="Theinhardt Light"/>
          <w:sz w:val="24"/>
          <w:szCs w:val="24"/>
          <w:shd w:val="clear" w:color="auto" w:fill="ffffff"/>
          <w:rtl w:val="0"/>
          <w:lang w:val="en-US"/>
        </w:rPr>
        <w:t>Ryszard Bojar, Marta Gawin, Viktoriya Grabowska, Micha</w:t>
      </w:r>
      <w:r>
        <w:rPr>
          <w:rFonts w:hAnsi="Theinhardt Light" w:hint="default"/>
          <w:sz w:val="24"/>
          <w:szCs w:val="24"/>
          <w:shd w:val="clear" w:color="auto" w:fill="ffffff"/>
          <w:rtl w:val="0"/>
          <w:lang w:val="en-US"/>
        </w:rPr>
        <w:t>ł Ł</w:t>
      </w:r>
      <w:r>
        <w:rPr>
          <w:rFonts w:ascii="Theinhardt Light"/>
          <w:sz w:val="24"/>
          <w:szCs w:val="24"/>
          <w:shd w:val="clear" w:color="auto" w:fill="ffffff"/>
          <w:rtl w:val="0"/>
          <w:lang w:val="en-US"/>
        </w:rPr>
        <w:t>ojewski, Katarzyna Roj, Kuba Sowi</w:t>
      </w:r>
      <w:r>
        <w:rPr>
          <w:rFonts w:hAnsi="Theinhardt Light" w:hint="default"/>
          <w:sz w:val="24"/>
          <w:szCs w:val="24"/>
          <w:shd w:val="clear" w:color="auto" w:fill="ffffff"/>
          <w:rtl w:val="0"/>
          <w:lang w:val="en-US"/>
        </w:rPr>
        <w:t>ń</w:t>
      </w:r>
      <w:r>
        <w:rPr>
          <w:rFonts w:ascii="Theinhardt Light"/>
          <w:sz w:val="24"/>
          <w:szCs w:val="24"/>
          <w:shd w:val="clear" w:color="auto" w:fill="ffffff"/>
          <w:rtl w:val="0"/>
          <w:lang w:val="en-US"/>
        </w:rPr>
        <w:t>ski, Marcina Wolny, Patryk Hardziej and Rene Wawrzkiewicz) from among 3000 submissions.</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shd w:val="clear" w:color="auto" w:fill="ffffff"/>
          <w:rtl w:val="0"/>
          <w:lang w:val="en-US"/>
        </w:rPr>
        <w:t>Since the late 1960s Poland has not produced an exhibition or publication that would attempt to show the history of its graphic symbols and visual identities in its entirety. A sign is one of the basic elements of visual communication. Abstract symbols, artistic metaphors and graphic shortcuts are like syllables and letters of a graphic language system in which the history of a nation or a society is reflected.</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shd w:val="clear" w:color="auto" w:fill="ffffff"/>
          <w:rtl w:val="0"/>
          <w:lang w:val="en-US"/>
        </w:rPr>
        <w:t>The Second Polish Exhibition of Graphic Symbols was first presented at the Design Centre in Gdynia. The Museum of Modern Art in Warsaw will host it from November 13 to January 10, 2016. In 2016 the exhibition will be taken to the BWA Dizajn gallery in Wroc</w:t>
      </w:r>
      <w:r>
        <w:rPr>
          <w:rFonts w:hAnsi="Theinhardt Light" w:hint="default"/>
          <w:sz w:val="24"/>
          <w:szCs w:val="24"/>
          <w:shd w:val="clear" w:color="auto" w:fill="ffffff"/>
          <w:rtl w:val="0"/>
          <w:lang w:val="en-US"/>
        </w:rPr>
        <w:t>ł</w:t>
      </w:r>
      <w:r>
        <w:rPr>
          <w:rFonts w:ascii="Theinhardt Light"/>
          <w:sz w:val="24"/>
          <w:szCs w:val="24"/>
          <w:shd w:val="clear" w:color="auto" w:fill="ffffff"/>
          <w:rtl w:val="0"/>
          <w:lang w:val="en-US"/>
        </w:rPr>
        <w:t>aw, Bunkier Sztuki in Cracow, the BWA Tarn</w:t>
      </w:r>
      <w:r>
        <w:rPr>
          <w:rFonts w:hAnsi="Theinhardt Light" w:hint="default"/>
          <w:sz w:val="24"/>
          <w:szCs w:val="24"/>
          <w:shd w:val="clear" w:color="auto" w:fill="ffffff"/>
          <w:rtl w:val="0"/>
          <w:lang w:val="en-US"/>
        </w:rPr>
        <w:t>ó</w:t>
      </w:r>
      <w:r>
        <w:rPr>
          <w:rFonts w:ascii="Theinhardt Light"/>
          <w:sz w:val="24"/>
          <w:szCs w:val="24"/>
          <w:shd w:val="clear" w:color="auto" w:fill="ffffff"/>
          <w:rtl w:val="0"/>
          <w:lang w:val="en-US"/>
        </w:rPr>
        <w:t>w gallery and other galleries, museums and cultural institutions in Poland. Openings will be accompanied by lectures, workshops and various meetings.</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p>
    <w:p>
      <w:pPr>
        <w:pStyle w:val="Default"/>
        <w:spacing w:line="288" w:lineRule="auto"/>
        <w:rPr>
          <w:rFonts w:ascii="MuseumSztukiNovo5-SemiBold" w:cs="MuseumSztukiNovo5-SemiBold" w:hAnsi="MuseumSztukiNovo5-SemiBold" w:eastAsia="MuseumSztukiNovo5-SemiBold"/>
          <w:b w:val="1"/>
          <w:bCs w:val="1"/>
          <w:sz w:val="28"/>
          <w:szCs w:val="28"/>
        </w:rPr>
      </w:pPr>
      <w:r>
        <w:rPr>
          <w:rFonts w:ascii="MuseumSztukiNovo5-SemiBold"/>
          <w:b w:val="1"/>
          <w:bCs w:val="1"/>
          <w:sz w:val="28"/>
          <w:szCs w:val="28"/>
          <w:rtl w:val="0"/>
          <w:lang w:val="en-US"/>
        </w:rPr>
        <w:t xml:space="preserve">November 14 </w:t>
      </w:r>
      <w:r>
        <w:rPr>
          <w:rFonts w:hAnsi="MuseumSztukiNovo5-SemiBold" w:hint="default"/>
          <w:b w:val="1"/>
          <w:bCs w:val="1"/>
          <w:sz w:val="28"/>
          <w:szCs w:val="28"/>
          <w:rtl w:val="0"/>
          <w:lang w:val="en-US"/>
        </w:rPr>
        <w:t xml:space="preserve">– </w:t>
      </w:r>
      <w:r>
        <w:rPr>
          <w:rFonts w:ascii="MuseumSztukiNovo5-SemiBold"/>
          <w:b w:val="1"/>
          <w:bCs w:val="1"/>
          <w:sz w:val="28"/>
          <w:szCs w:val="28"/>
          <w:rtl w:val="0"/>
          <w:lang w:val="en-US"/>
        </w:rPr>
        <w:t xml:space="preserve">15, 2015, 12 </w:t>
      </w:r>
      <w:r>
        <w:rPr>
          <w:rFonts w:hAnsi="MuseumSztukiNovo5-SemiBold" w:hint="default"/>
          <w:b w:val="1"/>
          <w:bCs w:val="1"/>
          <w:sz w:val="28"/>
          <w:szCs w:val="28"/>
          <w:rtl w:val="0"/>
          <w:lang w:val="en-US"/>
        </w:rPr>
        <w:t xml:space="preserve">– </w:t>
      </w:r>
      <w:r>
        <w:rPr>
          <w:rFonts w:ascii="MuseumSztukiNovo5-SemiBold"/>
          <w:b w:val="1"/>
          <w:bCs w:val="1"/>
          <w:sz w:val="28"/>
          <w:szCs w:val="28"/>
          <w:rtl w:val="0"/>
          <w:lang w:val="en-US"/>
        </w:rPr>
        <w:t xml:space="preserve">6 p. m. </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Theinhardt Light"/>
          <w:sz w:val="24"/>
          <w:szCs w:val="24"/>
          <w:rtl w:val="0"/>
          <w:lang w:val="en-US"/>
        </w:rPr>
        <w:t>Conference on sign and visual identity design. Participants will include Jakub de Barbaro, Edgar B</w:t>
      </w:r>
      <w:r>
        <w:rPr>
          <w:rFonts w:hAnsi="Theinhardt Light" w:hint="default"/>
          <w:sz w:val="24"/>
          <w:szCs w:val="24"/>
          <w:rtl w:val="0"/>
          <w:lang w:val="en-US"/>
        </w:rPr>
        <w:t>ą</w:t>
      </w:r>
      <w:r>
        <w:rPr>
          <w:rFonts w:ascii="Theinhardt Light"/>
          <w:sz w:val="24"/>
          <w:szCs w:val="24"/>
          <w:rtl w:val="0"/>
          <w:lang w:val="en-US"/>
        </w:rPr>
        <w:t xml:space="preserve">k, Ryszar Bojar, </w:t>
      </w:r>
      <w:r>
        <w:rPr>
          <w:rFonts w:hAnsi="Theinhardt Light" w:hint="default"/>
          <w:sz w:val="24"/>
          <w:szCs w:val="24"/>
          <w:rtl w:val="0"/>
          <w:lang w:val="en-US"/>
        </w:rPr>
        <w:t>Ł</w:t>
      </w:r>
      <w:r>
        <w:rPr>
          <w:rFonts w:ascii="Theinhardt Light"/>
          <w:sz w:val="24"/>
          <w:szCs w:val="24"/>
          <w:rtl w:val="0"/>
          <w:lang w:val="en-US"/>
        </w:rPr>
        <w:t>ukasz Dziedzic, Marta Gawin, Mamastudio, Wojtek Mierowski, Otwarte, Papajastudio, Kuba Sowi</w:t>
      </w:r>
      <w:r>
        <w:rPr>
          <w:rFonts w:hAnsi="Theinhardt Light" w:hint="default"/>
          <w:sz w:val="24"/>
          <w:szCs w:val="24"/>
          <w:rtl w:val="0"/>
          <w:lang w:val="en-US"/>
        </w:rPr>
        <w:t>ń</w:t>
      </w:r>
      <w:r>
        <w:rPr>
          <w:rFonts w:ascii="Theinhardt Light"/>
          <w:sz w:val="24"/>
          <w:szCs w:val="24"/>
          <w:rtl w:val="0"/>
          <w:lang w:val="en-US"/>
        </w:rPr>
        <w:t>ski, White Cat Studio, UVMW and Andrzej-Ludwik W</w:t>
      </w:r>
      <w:r>
        <w:rPr>
          <w:rFonts w:hAnsi="Theinhardt Light" w:hint="default"/>
          <w:sz w:val="24"/>
          <w:szCs w:val="24"/>
          <w:rtl w:val="0"/>
          <w:lang w:val="en-US"/>
        </w:rPr>
        <w:t>ł</w:t>
      </w:r>
      <w:r>
        <w:rPr>
          <w:rFonts w:ascii="Theinhardt Light"/>
          <w:sz w:val="24"/>
          <w:szCs w:val="24"/>
          <w:rtl w:val="0"/>
          <w:lang w:val="en-US"/>
        </w:rPr>
        <w:t>oszczy</w:t>
      </w:r>
      <w:r>
        <w:rPr>
          <w:rFonts w:hAnsi="Theinhardt Light" w:hint="default"/>
          <w:sz w:val="24"/>
          <w:szCs w:val="24"/>
          <w:rtl w:val="0"/>
          <w:lang w:val="en-US"/>
        </w:rPr>
        <w:t>ń</w:t>
      </w:r>
      <w:r>
        <w:rPr>
          <w:rFonts w:ascii="Theinhardt Light"/>
          <w:sz w:val="24"/>
          <w:szCs w:val="24"/>
          <w:rtl w:val="0"/>
          <w:lang w:val="en-US"/>
        </w:rPr>
        <w:t>ski.</w:t>
      </w:r>
    </w:p>
    <w:p>
      <w:pPr>
        <w:pStyle w:val="Default"/>
        <w:spacing w:line="288" w:lineRule="auto"/>
        <w:rPr>
          <w:rFonts w:ascii="Theinhardt Light" w:cs="Theinhardt Light" w:hAnsi="Theinhardt Light" w:eastAsia="Theinhardt Light"/>
        </w:rPr>
      </w:pPr>
    </w:p>
    <w:p>
      <w:pPr>
        <w:pStyle w:val="Default"/>
        <w:spacing w:line="288" w:lineRule="auto"/>
        <w:rPr>
          <w:rFonts w:ascii="Theinhardt Light" w:cs="Theinhardt Light" w:hAnsi="Theinhardt Light" w:eastAsia="Theinhardt Light"/>
        </w:rPr>
      </w:pPr>
      <w:r>
        <w:rPr>
          <w:rFonts w:ascii="MuseumSztukiNovo5-SemiBold"/>
          <w:b w:val="1"/>
          <w:bCs w:val="1"/>
          <w:sz w:val="24"/>
          <w:szCs w:val="24"/>
          <w:rtl w:val="0"/>
          <w:lang w:val="en-US"/>
        </w:rPr>
        <w:t>Exhibition commissioners</w:t>
      </w:r>
      <w:r>
        <w:rPr>
          <w:rFonts w:ascii="Theinhardt Light"/>
          <w:sz w:val="24"/>
          <w:szCs w:val="24"/>
          <w:rtl w:val="0"/>
          <w:lang w:val="en-US"/>
        </w:rPr>
        <w:t>: Patryk Hardziej, Rene Wawrzkiewicz</w:t>
      </w:r>
    </w:p>
    <w:p>
      <w:pPr>
        <w:pStyle w:val="Default"/>
        <w:spacing w:line="288" w:lineRule="auto"/>
        <w:rPr>
          <w:rFonts w:ascii="Theinhardt Light" w:cs="Theinhardt Light" w:hAnsi="Theinhardt Light" w:eastAsia="Theinhardt Light"/>
        </w:rPr>
      </w:pPr>
      <w:r>
        <w:rPr>
          <w:rFonts w:ascii="MuseumSztukiNovo5-SemiBold"/>
          <w:b w:val="1"/>
          <w:bCs w:val="1"/>
          <w:sz w:val="24"/>
          <w:szCs w:val="24"/>
          <w:rtl w:val="0"/>
          <w:lang w:val="en-US"/>
        </w:rPr>
        <w:t>Consultants' Council</w:t>
      </w:r>
      <w:r>
        <w:rPr>
          <w:rFonts w:ascii="Theinhardt Light"/>
          <w:sz w:val="24"/>
          <w:szCs w:val="24"/>
          <w:rtl w:val="0"/>
          <w:lang w:val="en-US"/>
        </w:rPr>
        <w:t xml:space="preserve">: </w:t>
      </w:r>
      <w:r>
        <w:rPr>
          <w:rFonts w:ascii="Theinhardt Light"/>
          <w:sz w:val="24"/>
          <w:szCs w:val="24"/>
          <w:shd w:val="clear" w:color="auto" w:fill="ffffff"/>
          <w:rtl w:val="0"/>
          <w:lang w:val="en-US"/>
        </w:rPr>
        <w:t>Ryszard Bojar, Marta Gawin, Viktoriya Grabowska, Micha</w:t>
      </w:r>
      <w:r>
        <w:rPr>
          <w:rFonts w:hAnsi="Theinhardt Light" w:hint="default"/>
          <w:sz w:val="24"/>
          <w:szCs w:val="24"/>
          <w:shd w:val="clear" w:color="auto" w:fill="ffffff"/>
          <w:rtl w:val="0"/>
          <w:lang w:val="en-US"/>
        </w:rPr>
        <w:t>ł Ł</w:t>
      </w:r>
      <w:r>
        <w:rPr>
          <w:rFonts w:ascii="Theinhardt Light"/>
          <w:sz w:val="24"/>
          <w:szCs w:val="24"/>
          <w:shd w:val="clear" w:color="auto" w:fill="ffffff"/>
          <w:rtl w:val="0"/>
          <w:lang w:val="en-US"/>
        </w:rPr>
        <w:t>ojewski, Katarzyna Roj, Kuba Sowi</w:t>
      </w:r>
      <w:r>
        <w:rPr>
          <w:rFonts w:hAnsi="Theinhardt Light" w:hint="default"/>
          <w:sz w:val="24"/>
          <w:szCs w:val="24"/>
          <w:shd w:val="clear" w:color="auto" w:fill="ffffff"/>
          <w:rtl w:val="0"/>
          <w:lang w:val="en-US"/>
        </w:rPr>
        <w:t>ń</w:t>
      </w:r>
      <w:r>
        <w:rPr>
          <w:rFonts w:ascii="Theinhardt Light"/>
          <w:sz w:val="24"/>
          <w:szCs w:val="24"/>
          <w:shd w:val="clear" w:color="auto" w:fill="ffffff"/>
          <w:rtl w:val="0"/>
          <w:lang w:val="en-US"/>
        </w:rPr>
        <w:t>ski and Marcin Wolny.</w:t>
      </w:r>
    </w:p>
    <w:p>
      <w:pPr>
        <w:pStyle w:val="Treść A"/>
        <w:spacing w:line="288" w:lineRule="auto"/>
        <w:rPr>
          <w:rFonts w:ascii="Theinhardt Light" w:cs="Theinhardt Light" w:hAnsi="Theinhardt Light" w:eastAsia="Theinhardt Light"/>
          <w:lang w:val="en-US"/>
        </w:rPr>
      </w:pPr>
      <w:r>
        <w:rPr>
          <w:rFonts w:ascii="MuseumSztukiNovo5-SemiBold"/>
          <w:b w:val="1"/>
          <w:bCs w:val="1"/>
          <w:sz w:val="24"/>
          <w:szCs w:val="24"/>
          <w:shd w:val="clear" w:color="auto" w:fill="ffffff"/>
          <w:rtl w:val="0"/>
          <w:lang w:val="en-US"/>
        </w:rPr>
        <w:t>Cooperation</w:t>
      </w:r>
      <w:r>
        <w:rPr>
          <w:rFonts w:ascii="Theinhardt Light"/>
          <w:sz w:val="24"/>
          <w:szCs w:val="24"/>
          <w:shd w:val="clear" w:color="auto" w:fill="ffffff"/>
          <w:rtl w:val="0"/>
          <w:lang w:val="en-US"/>
        </w:rPr>
        <w:t xml:space="preserve">: </w:t>
      </w:r>
      <w:r>
        <w:rPr>
          <w:rFonts w:ascii="Theinhardt Light"/>
          <w:sz w:val="24"/>
          <w:szCs w:val="24"/>
          <w:rtl w:val="0"/>
          <w:lang w:val="en-US"/>
        </w:rPr>
        <w:t>Tomasz Ch</w:t>
      </w:r>
      <w:r>
        <w:rPr>
          <w:rFonts w:hAnsi="Theinhardt Light" w:hint="default"/>
          <w:sz w:val="24"/>
          <w:szCs w:val="24"/>
          <w:rtl w:val="0"/>
          <w:lang w:val="en-US"/>
        </w:rPr>
        <w:t>ą</w:t>
      </w:r>
      <w:r>
        <w:rPr>
          <w:rFonts w:ascii="Theinhardt Light"/>
          <w:sz w:val="24"/>
          <w:szCs w:val="24"/>
          <w:rtl w:val="0"/>
          <w:lang w:val="en-US"/>
        </w:rPr>
        <w:t>dzy</w:t>
      </w:r>
      <w:r>
        <w:rPr>
          <w:rFonts w:hAnsi="Theinhardt Light" w:hint="default"/>
          <w:sz w:val="24"/>
          <w:szCs w:val="24"/>
          <w:rtl w:val="0"/>
          <w:lang w:val="en-US"/>
        </w:rPr>
        <w:t>ń</w:t>
      </w:r>
      <w:r>
        <w:rPr>
          <w:rFonts w:ascii="Theinhardt Light"/>
          <w:sz w:val="24"/>
          <w:szCs w:val="24"/>
          <w:rtl w:val="0"/>
          <w:lang w:val="en-US"/>
        </w:rPr>
        <w:t>ski, Piotr Chuchla, Ewa Chudecka, Aleksander Dro</w:t>
      </w:r>
      <w:r>
        <w:rPr>
          <w:rFonts w:hAnsi="Theinhardt Light" w:hint="default"/>
          <w:sz w:val="24"/>
          <w:szCs w:val="24"/>
          <w:rtl w:val="0"/>
          <w:lang w:val="en-US"/>
        </w:rPr>
        <w:t>ż</w:t>
      </w:r>
      <w:r>
        <w:rPr>
          <w:rFonts w:ascii="Theinhardt Light"/>
          <w:sz w:val="24"/>
          <w:szCs w:val="24"/>
          <w:rtl w:val="0"/>
          <w:lang w:val="en-US"/>
        </w:rPr>
        <w:t>d</w:t>
      </w:r>
      <w:r>
        <w:rPr>
          <w:rFonts w:hAnsi="Theinhardt Light" w:hint="default"/>
          <w:sz w:val="24"/>
          <w:szCs w:val="24"/>
          <w:rtl w:val="0"/>
          <w:lang w:val="en-US"/>
        </w:rPr>
        <w:t>ż</w:t>
      </w:r>
      <w:r>
        <w:rPr>
          <w:rFonts w:ascii="Theinhardt Light"/>
          <w:sz w:val="24"/>
          <w:szCs w:val="24"/>
          <w:rtl w:val="0"/>
          <w:lang w:val="en-US"/>
        </w:rPr>
        <w:t>ewski, Artur Jewu</w:t>
      </w:r>
      <w:r>
        <w:rPr>
          <w:rFonts w:hAnsi="Theinhardt Light" w:hint="default"/>
          <w:sz w:val="24"/>
          <w:szCs w:val="24"/>
          <w:rtl w:val="0"/>
          <w:lang w:val="en-US"/>
        </w:rPr>
        <w:t>ł</w:t>
      </w:r>
      <w:r>
        <w:rPr>
          <w:rFonts w:ascii="Theinhardt Light"/>
          <w:sz w:val="24"/>
          <w:szCs w:val="24"/>
          <w:rtl w:val="0"/>
          <w:lang w:val="en-US"/>
        </w:rPr>
        <w:t>a, Tomasz Jurecki, Ksawery Kirklewski, Marta Kowalska, Adam Nowi</w:t>
      </w:r>
      <w:r>
        <w:rPr>
          <w:rFonts w:hAnsi="Theinhardt Light" w:hint="default"/>
          <w:sz w:val="24"/>
          <w:szCs w:val="24"/>
          <w:rtl w:val="0"/>
          <w:lang w:val="en-US"/>
        </w:rPr>
        <w:t>ń</w:t>
      </w:r>
      <w:r>
        <w:rPr>
          <w:rFonts w:ascii="Theinhardt Light"/>
          <w:sz w:val="24"/>
          <w:szCs w:val="24"/>
          <w:rtl w:val="0"/>
          <w:lang w:val="en-US"/>
        </w:rPr>
        <w:t>ski, Marianna Paszkowska, Patrycja Podko</w:t>
      </w:r>
      <w:r>
        <w:rPr>
          <w:rFonts w:hAnsi="Theinhardt Light" w:hint="default"/>
          <w:sz w:val="24"/>
          <w:szCs w:val="24"/>
          <w:rtl w:val="0"/>
          <w:lang w:val="en-US"/>
        </w:rPr>
        <w:t>ś</w:t>
      </w:r>
      <w:r>
        <w:rPr>
          <w:rFonts w:ascii="Theinhardt Light"/>
          <w:sz w:val="24"/>
          <w:szCs w:val="24"/>
          <w:rtl w:val="0"/>
          <w:lang w:val="en-US"/>
        </w:rPr>
        <w:t>cielny, Marta Sarnowska, Szymon Sawicki, Jagoda Sosi</w:t>
      </w:r>
      <w:r>
        <w:rPr>
          <w:rFonts w:hAnsi="Theinhardt Light" w:hint="default"/>
          <w:sz w:val="24"/>
          <w:szCs w:val="24"/>
          <w:rtl w:val="0"/>
          <w:lang w:val="en-US"/>
        </w:rPr>
        <w:t>ń</w:t>
      </w:r>
      <w:r>
        <w:rPr>
          <w:rFonts w:ascii="Theinhardt Light"/>
          <w:sz w:val="24"/>
          <w:szCs w:val="24"/>
          <w:rtl w:val="0"/>
          <w:lang w:val="en-US"/>
        </w:rPr>
        <w:t>ska, Kaja St</w:t>
      </w:r>
      <w:r>
        <w:rPr>
          <w:rFonts w:hAnsi="Theinhardt Light" w:hint="default"/>
          <w:sz w:val="24"/>
          <w:szCs w:val="24"/>
          <w:rtl w:val="0"/>
          <w:lang w:val="en-US"/>
        </w:rPr>
        <w:t>ę</w:t>
      </w:r>
      <w:r>
        <w:rPr>
          <w:rFonts w:ascii="Theinhardt Light"/>
          <w:sz w:val="24"/>
          <w:szCs w:val="24"/>
          <w:rtl w:val="0"/>
          <w:lang w:val="en-US"/>
        </w:rPr>
        <w:t xml:space="preserve">pkowska, Piotr </w:t>
      </w:r>
      <w:r>
        <w:rPr>
          <w:rFonts w:hAnsi="Theinhardt Light" w:hint="default"/>
          <w:sz w:val="24"/>
          <w:szCs w:val="24"/>
          <w:rtl w:val="0"/>
          <w:lang w:val="en-US"/>
        </w:rPr>
        <w:t>Ś</w:t>
      </w:r>
      <w:r>
        <w:rPr>
          <w:rFonts w:ascii="Theinhardt Light"/>
          <w:sz w:val="24"/>
          <w:szCs w:val="24"/>
          <w:rtl w:val="0"/>
          <w:lang w:val="en-US"/>
        </w:rPr>
        <w:t>li</w:t>
      </w:r>
      <w:r>
        <w:rPr>
          <w:rFonts w:hAnsi="Theinhardt Light" w:hint="default"/>
          <w:sz w:val="24"/>
          <w:szCs w:val="24"/>
          <w:rtl w:val="0"/>
          <w:lang w:val="en-US"/>
        </w:rPr>
        <w:t>ż</w:t>
      </w:r>
      <w:r>
        <w:rPr>
          <w:rFonts w:ascii="Theinhardt Light"/>
          <w:sz w:val="24"/>
          <w:szCs w:val="24"/>
          <w:rtl w:val="0"/>
          <w:lang w:val="en-US"/>
        </w:rPr>
        <w:t>ewski, Nikola Trojnar, Julek Wierzchowski, Zuzanna Zamorska.</w:t>
      </w:r>
    </w:p>
    <w:p>
      <w:pPr>
        <w:pStyle w:val="Default"/>
        <w:spacing w:line="288" w:lineRule="auto"/>
        <w:rPr>
          <w:rFonts w:ascii="Theinhardt Light" w:cs="Theinhardt Light" w:hAnsi="Theinhardt Light" w:eastAsia="Theinhardt Light"/>
        </w:rPr>
      </w:pPr>
      <w:r>
        <w:rPr>
          <w:rFonts w:ascii="MuseumSztukiNovo5-SemiBold"/>
          <w:b w:val="1"/>
          <w:bCs w:val="1"/>
          <w:sz w:val="24"/>
          <w:szCs w:val="24"/>
          <w:shd w:val="clear" w:color="auto" w:fill="ffffff"/>
          <w:rtl w:val="0"/>
          <w:lang w:val="en-US"/>
        </w:rPr>
        <w:t>Graphic symbol:</w:t>
      </w:r>
      <w:r>
        <w:rPr>
          <w:rFonts w:ascii="Theinhardt Light"/>
          <w:sz w:val="24"/>
          <w:szCs w:val="24"/>
          <w:shd w:val="clear" w:color="auto" w:fill="ffffff"/>
          <w:rtl w:val="0"/>
          <w:lang w:val="en-US"/>
        </w:rPr>
        <w:t xml:space="preserve"> Karol </w:t>
      </w:r>
      <w:r>
        <w:rPr>
          <w:rFonts w:hAnsi="Theinhardt Light" w:hint="default"/>
          <w:sz w:val="24"/>
          <w:szCs w:val="24"/>
          <w:shd w:val="clear" w:color="auto" w:fill="ffffff"/>
          <w:rtl w:val="0"/>
          <w:lang w:val="en-US"/>
        </w:rPr>
        <w:t>Ś</w:t>
      </w:r>
      <w:r>
        <w:rPr>
          <w:rFonts w:ascii="Theinhardt Light"/>
          <w:sz w:val="24"/>
          <w:szCs w:val="24"/>
          <w:shd w:val="clear" w:color="auto" w:fill="ffffff"/>
          <w:rtl w:val="0"/>
          <w:lang w:val="en-US"/>
        </w:rPr>
        <w:t>liwka</w:t>
      </w:r>
    </w:p>
    <w:p>
      <w:pPr>
        <w:pStyle w:val="Treść A"/>
        <w:spacing w:line="288" w:lineRule="auto"/>
        <w:rPr>
          <w:rFonts w:ascii="Theinhardt Light" w:cs="Theinhardt Light" w:hAnsi="Theinhardt Light" w:eastAsia="Theinhardt Light"/>
          <w:shd w:val="clear" w:color="auto" w:fill="ffffff"/>
          <w:lang w:val="en-US"/>
        </w:rPr>
      </w:pPr>
      <w:r>
        <w:rPr>
          <w:rFonts w:ascii="MuseumSztukiNovo5-SemiBold"/>
          <w:b w:val="1"/>
          <w:bCs w:val="1"/>
          <w:sz w:val="24"/>
          <w:szCs w:val="24"/>
          <w:shd w:val="clear" w:color="auto" w:fill="ffffff"/>
          <w:rtl w:val="0"/>
          <w:lang w:val="en-US"/>
        </w:rPr>
        <w:t>Main partners</w:t>
      </w:r>
      <w:r>
        <w:rPr>
          <w:rFonts w:ascii="Theinhardt Light"/>
          <w:sz w:val="24"/>
          <w:szCs w:val="24"/>
          <w:shd w:val="clear" w:color="auto" w:fill="ffffff"/>
          <w:rtl w:val="0"/>
          <w:lang w:val="en-US"/>
        </w:rPr>
        <w:t>: Museum of Modern Art in Warsaw, BWA Dizajn Gallery Wroc</w:t>
      </w:r>
      <w:r>
        <w:rPr>
          <w:rFonts w:hAnsi="Theinhardt Light" w:hint="default"/>
          <w:sz w:val="24"/>
          <w:szCs w:val="24"/>
          <w:shd w:val="clear" w:color="auto" w:fill="ffffff"/>
          <w:rtl w:val="0"/>
          <w:lang w:val="en-US"/>
        </w:rPr>
        <w:t>ł</w:t>
      </w:r>
      <w:r>
        <w:rPr>
          <w:rFonts w:ascii="Theinhardt Light"/>
          <w:sz w:val="24"/>
          <w:szCs w:val="24"/>
          <w:shd w:val="clear" w:color="auto" w:fill="ffffff"/>
          <w:rtl w:val="0"/>
          <w:lang w:val="en-US"/>
        </w:rPr>
        <w:t>aw, Gdynia Design Centre, Oldschool Logo, Design-Crit</w:t>
      </w:r>
    </w:p>
    <w:p>
      <w:pPr>
        <w:pStyle w:val="Treść A"/>
        <w:spacing w:line="288" w:lineRule="auto"/>
        <w:rPr>
          <w:rFonts w:ascii="Theinhardt Light" w:cs="Theinhardt Light" w:hAnsi="Theinhardt Light" w:eastAsia="Theinhardt Light"/>
          <w:shd w:val="clear" w:color="auto" w:fill="ffffff"/>
          <w:lang w:val="en-US"/>
        </w:rPr>
      </w:pPr>
      <w:r>
        <w:rPr>
          <w:rFonts w:ascii="MuseumSztukiNovo5-SemiBold"/>
          <w:b w:val="1"/>
          <w:bCs w:val="1"/>
          <w:sz w:val="24"/>
          <w:szCs w:val="24"/>
          <w:shd w:val="clear" w:color="auto" w:fill="ffffff"/>
          <w:rtl w:val="0"/>
          <w:lang w:val="en-US"/>
        </w:rPr>
        <w:t>Media inquiries</w:t>
      </w:r>
      <w:r>
        <w:rPr>
          <w:rFonts w:ascii="Theinhardt Light"/>
          <w:sz w:val="24"/>
          <w:szCs w:val="24"/>
          <w:shd w:val="clear" w:color="auto" w:fill="ffffff"/>
          <w:rtl w:val="0"/>
          <w:lang w:val="en-US"/>
        </w:rPr>
        <w:t>: info@owzg,pl</w:t>
      </w:r>
    </w:p>
    <w:p>
      <w:pPr>
        <w:pStyle w:val="Treść A"/>
        <w:spacing w:line="288" w:lineRule="auto"/>
      </w:pPr>
      <w:r>
        <w:rPr>
          <w:rFonts w:ascii="MuseumSztukiNovo5-SemiBold"/>
          <w:b w:val="1"/>
          <w:bCs w:val="1"/>
          <w:sz w:val="24"/>
          <w:szCs w:val="24"/>
          <w:shd w:val="clear" w:color="auto" w:fill="ffffff"/>
          <w:rtl w:val="0"/>
          <w:lang w:val="en-US"/>
        </w:rPr>
        <w:t>More information</w:t>
      </w:r>
      <w:r>
        <w:rPr>
          <w:rFonts w:ascii="Theinhardt Light"/>
          <w:sz w:val="24"/>
          <w:szCs w:val="24"/>
          <w:shd w:val="clear" w:color="auto" w:fill="ffffff"/>
          <w:rtl w:val="0"/>
          <w:lang w:val="en-US"/>
        </w:rPr>
        <w:t>:</w:t>
      </w:r>
      <w:r>
        <w:rPr>
          <w:rFonts w:hAnsi="Theinhardt Light" w:hint="default"/>
          <w:sz w:val="24"/>
          <w:szCs w:val="24"/>
          <w:shd w:val="clear" w:color="auto" w:fill="ffffff"/>
          <w:rtl w:val="0"/>
          <w:lang w:val="en-US"/>
        </w:rPr>
        <w:t> </w:t>
      </w:r>
      <w:hyperlink r:id="rId5" w:history="1">
        <w:r>
          <w:rPr>
            <w:rStyle w:val="Hyperlink.0"/>
            <w:rFonts w:ascii="Theinhardt Light"/>
            <w:sz w:val="24"/>
            <w:szCs w:val="24"/>
            <w:u w:val="single"/>
            <w:rtl w:val="0"/>
            <w:lang w:val="en-US"/>
          </w:rPr>
          <w:t>www.owzg.pl</w:t>
        </w:r>
      </w:hyperlink>
      <w:r>
        <w:rPr>
          <w:rFonts w:ascii="Theinhardt Light"/>
          <w:sz w:val="24"/>
          <w:szCs w:val="24"/>
          <w:u w:val="single"/>
          <w:rtl w:val="0"/>
          <w:lang w:val="en-US"/>
        </w:rPr>
        <w:t>/en</w:t>
      </w:r>
    </w:p>
    <w:sectPr>
      <w:headerReference w:type="default" r:id="rId6"/>
      <w:footerReference w:type="default" r:id="rId7"/>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MuseumSztukiNovo5-SemiBold">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1"/>
      <w:keepLines w:val="0"/>
      <w:pageBreakBefore w:val="0"/>
      <w:widowControl w:val="0"/>
      <w:pBdr>
        <w:top w:val="nil"/>
        <w:left w:val="nil"/>
        <w:bottom w:val="nil"/>
        <w:right w:val="nil"/>
      </w:pBdr>
      <w:shd w:val="clear" w:color="auto" w:fill="auto"/>
      <w:suppressAutoHyphens w:val="1"/>
      <w:bidi w:val="0"/>
      <w:spacing w:before="240" w:after="120" w:line="240" w:lineRule="auto"/>
      <w:ind w:left="432" w:right="0" w:hanging="432"/>
      <w:jc w:val="left"/>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1"/>
      <w:position w:val="0"/>
      <w:sz w:val="48"/>
      <w:szCs w:val="48"/>
      <w:u w:val="none" w:color="000000"/>
      <w:vertAlign w:val="baseline"/>
      <w:lang w:val="en-US"/>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reść A">
    <w:name w:val="Treść A"/>
    <w:next w:val="Treść A"/>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Brak">
    <w:name w:val="Brak"/>
  </w:style>
  <w:style w:type="character" w:styleId="Hyperlink.0">
    <w:name w:val="Hyperlink.0"/>
    <w:basedOn w:val="Brak"/>
    <w:next w:val="Hyperlink.0"/>
    <w:rPr>
      <w:rFonts w:ascii="Theinhardt Light" w:cs="Theinhardt Light" w:hAnsi="Theinhardt Light" w:eastAsia="Theinhardt Light"/>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owzg.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