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3"/>
        <w:gridCol w:w="5448"/>
      </w:tblGrid>
      <w:tr w:rsidR="003C5B94" w:rsidRPr="003C5B94" w:rsidTr="003C5B94">
        <w:trPr>
          <w:trHeight w:val="3676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427F65" w:rsidRPr="003C5B94" w:rsidRDefault="00427F65" w:rsidP="00427F65">
            <w:pPr>
              <w:jc w:val="both"/>
              <w:rPr>
                <w:rFonts w:ascii="Theinhardt Regular" w:hAnsi="Theinhardt Regular" w:cstheme="majorHAnsi"/>
                <w:color w:val="auto"/>
                <w:sz w:val="24"/>
                <w:szCs w:val="24"/>
              </w:rPr>
            </w:pPr>
            <w:r w:rsidRPr="003C5B94">
              <w:rPr>
                <w:rFonts w:ascii="Theinhardt Regular" w:hAnsi="Theinhardt Regular" w:cstheme="majorHAns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111B34FC" wp14:editId="5BCC668F">
                  <wp:extent cx="2581275" cy="2581275"/>
                  <wp:effectExtent l="0" t="0" r="9525" b="9525"/>
                  <wp:docPr id="2" name="Picture 2" descr="NS:Users:nataliasielewicz:Downloads:social_media:ikonki: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:Users:nataliasielewicz:Downloads:social_media:ikonki: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27F65" w:rsidRPr="003C5B94" w:rsidRDefault="00427F65" w:rsidP="00427F65">
            <w:pPr>
              <w:jc w:val="right"/>
              <w:rPr>
                <w:rFonts w:ascii="Theinhardt Regular" w:hAnsi="Theinhardt Regular" w:cstheme="majorHAnsi"/>
                <w:b/>
                <w:color w:val="auto"/>
                <w:sz w:val="56"/>
                <w:szCs w:val="24"/>
              </w:rPr>
            </w:pPr>
            <w:r w:rsidRPr="003C5B94">
              <w:rPr>
                <w:rFonts w:ascii="Theinhardt Regular" w:hAnsi="Theinhardt Regular" w:cstheme="majorHAnsi"/>
                <w:b/>
                <w:color w:val="auto"/>
                <w:sz w:val="56"/>
                <w:szCs w:val="24"/>
              </w:rPr>
              <w:t>DEPARTAMENT OBECNOŚCI</w:t>
            </w:r>
          </w:p>
          <w:p w:rsidR="00427F65" w:rsidRPr="003C5B94" w:rsidRDefault="00427F65" w:rsidP="00427F65">
            <w:pPr>
              <w:jc w:val="right"/>
              <w:rPr>
                <w:rFonts w:ascii="Theinhardt Regular" w:hAnsi="Theinhardt Regular" w:cstheme="majorHAnsi"/>
                <w:b/>
                <w:color w:val="auto"/>
                <w:sz w:val="56"/>
                <w:szCs w:val="24"/>
              </w:rPr>
            </w:pPr>
          </w:p>
          <w:p w:rsidR="00427F65" w:rsidRPr="003C5B94" w:rsidRDefault="00427F65" w:rsidP="00427F65">
            <w:pPr>
              <w:jc w:val="right"/>
              <w:rPr>
                <w:rFonts w:ascii="Theinhardt Regular" w:hAnsi="Theinhardt Regular" w:cstheme="majorHAnsi"/>
                <w:b/>
                <w:color w:val="auto"/>
                <w:sz w:val="28"/>
                <w:szCs w:val="28"/>
              </w:rPr>
            </w:pPr>
            <w:r w:rsidRPr="003C5B94">
              <w:rPr>
                <w:rFonts w:ascii="Theinhardt Regular" w:hAnsi="Theinhardt Regular" w:cstheme="majorHAnsi"/>
                <w:b/>
                <w:color w:val="auto"/>
                <w:sz w:val="28"/>
                <w:szCs w:val="28"/>
              </w:rPr>
              <w:t>Muzeum Sztuki Nowoczesnej w Warszawie</w:t>
            </w:r>
          </w:p>
          <w:p w:rsidR="00427F65" w:rsidRPr="003C5B94" w:rsidRDefault="00427F65" w:rsidP="00427F65">
            <w:pPr>
              <w:jc w:val="right"/>
              <w:rPr>
                <w:rFonts w:ascii="Theinhardt Regular" w:hAnsi="Theinhardt Regular" w:cstheme="majorHAnsi"/>
                <w:b/>
                <w:color w:val="auto"/>
                <w:sz w:val="24"/>
                <w:szCs w:val="24"/>
              </w:rPr>
            </w:pPr>
            <w:r w:rsidRPr="003C5B94">
              <w:rPr>
                <w:rFonts w:ascii="Theinhardt Regular" w:hAnsi="Theinhardt Regular" w:cstheme="majorHAnsi"/>
                <w:b/>
                <w:color w:val="auto"/>
                <w:sz w:val="28"/>
                <w:szCs w:val="28"/>
              </w:rPr>
              <w:t>Ul. Pańska 3</w:t>
            </w:r>
          </w:p>
        </w:tc>
      </w:tr>
    </w:tbl>
    <w:p w:rsidR="00643D9B" w:rsidRPr="003C5B94" w:rsidRDefault="00643D9B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643D9B" w:rsidRPr="003C5B94" w:rsidRDefault="00643D9B" w:rsidP="00427F65">
      <w:pPr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4"/>
          <w:szCs w:val="24"/>
        </w:rPr>
        <w:t>Departament Obecności - nowy program publ</w:t>
      </w:r>
      <w:r w:rsidR="003C5B94">
        <w:rPr>
          <w:rFonts w:ascii="Theinhardt Regular" w:hAnsi="Theinhardt Regular" w:cstheme="majorHAnsi"/>
          <w:b/>
          <w:color w:val="auto"/>
          <w:sz w:val="24"/>
          <w:szCs w:val="24"/>
        </w:rPr>
        <w:t>iczny Muzeum Sztuki Nowoczesnej</w:t>
      </w:r>
      <w:r w:rsidR="003C5B94">
        <w:rPr>
          <w:rFonts w:ascii="Theinhardt Regular" w:hAnsi="Theinhardt Regular" w:cstheme="majorHAnsi"/>
          <w:b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b/>
          <w:color w:val="auto"/>
          <w:sz w:val="24"/>
          <w:szCs w:val="24"/>
        </w:rPr>
        <w:t xml:space="preserve">w Warszawie - rusza 14 lutego na Pańskiej 3. Rozpocznie się od rezydencji kolektywu performerskiego Kem. </w:t>
      </w:r>
    </w:p>
    <w:p w:rsidR="00643D9B" w:rsidRPr="003C5B94" w:rsidRDefault="00643D9B" w:rsidP="00427F65">
      <w:pPr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4"/>
          <w:szCs w:val="24"/>
        </w:rPr>
        <w:t xml:space="preserve">Start o godz. 19:00 walentynkowym wieczorem performatywnym przygotowanym przez Kem w Muzeum na Pańskiej 3. </w:t>
      </w:r>
    </w:p>
    <w:p w:rsidR="00643D9B" w:rsidRPr="003C5B94" w:rsidRDefault="00643D9B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 xml:space="preserve">Program od 14 lutego na stronie: </w:t>
      </w:r>
      <w:hyperlink r:id="rId7">
        <w:r w:rsidRPr="003C5B94">
          <w:rPr>
            <w:rStyle w:val="czeinternetowe"/>
            <w:rFonts w:ascii="Theinhardt Regular" w:hAnsi="Theinhardt Regular" w:cstheme="majorHAnsi"/>
            <w:color w:val="auto"/>
            <w:sz w:val="24"/>
            <w:szCs w:val="24"/>
          </w:rPr>
          <w:t>http://departament.artmuseum.pl</w:t>
        </w:r>
      </w:hyperlink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 xml:space="preserve">Departament jest również obecny na Facebooku i na Instagramie. </w:t>
      </w: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Facebook:</w:t>
      </w:r>
    </w:p>
    <w:p w:rsidR="00643D9B" w:rsidRPr="003C5B94" w:rsidRDefault="00E40B38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hyperlink r:id="rId8">
        <w:r w:rsidR="00583063" w:rsidRPr="003C5B94">
          <w:rPr>
            <w:rStyle w:val="czeinternetowe"/>
            <w:rFonts w:ascii="Theinhardt Regular" w:hAnsi="Theinhardt Regular" w:cstheme="majorHAnsi"/>
            <w:color w:val="auto"/>
            <w:sz w:val="24"/>
            <w:szCs w:val="24"/>
          </w:rPr>
          <w:t>https://www.facebook.com/Departament-Obecno%C5%9Bci-334520287064785/</w:t>
        </w:r>
      </w:hyperlink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Instagram:</w:t>
      </w:r>
    </w:p>
    <w:p w:rsidR="00643D9B" w:rsidRPr="003C5B94" w:rsidRDefault="00E40B38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hyperlink r:id="rId9">
        <w:r w:rsidR="00583063" w:rsidRPr="003C5B94">
          <w:rPr>
            <w:rStyle w:val="czeinternetowe"/>
            <w:rFonts w:ascii="Theinhardt Regular" w:hAnsi="Theinhardt Regular" w:cstheme="majorHAnsi"/>
            <w:color w:val="auto"/>
            <w:sz w:val="24"/>
            <w:szCs w:val="24"/>
          </w:rPr>
          <w:t>https://www.instagram.com/departamentobecnosci/</w:t>
        </w:r>
      </w:hyperlink>
    </w:p>
    <w:p w:rsidR="00643D9B" w:rsidRPr="003C5B94" w:rsidRDefault="00643D9B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Departament Obecności to nowy program publiczny w Muzeum na Pańskiej.</w:t>
      </w:r>
    </w:p>
    <w:p w:rsidR="00643D9B" w:rsidRPr="003C5B94" w:rsidRDefault="00583063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Jest formą „instytucji wewnątrz instytucji”, nie-hierarchiczną eksperymentalną placówką badawczo-edukacyjną, która wychodzi od doświadczeń z różnymi formami wypowiedzi artystycznej, aby dyskutować kwestie polityczne, społeczne i ekonomiczne.</w:t>
      </w:r>
    </w:p>
    <w:p w:rsidR="00643D9B" w:rsidRPr="003C5B94" w:rsidRDefault="00583063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Kształt współczesnej debaty determinują dziś problemy obecności i nieobecności poszczególnych tematów i aktorów życia publicznego. Brak języka, za pomocą którego można opowiedzieć o radykalnych zmianach zachodzących w społeczeństwie, przyszłości Europy poza organizacją państwa narodowego, kryzysie polityk migracyjnych, autonomizacji dużych miast, to palący problem współczesności, który podlega postępującej manipulacji i dezinformacji w sferze mediów. Departament Obecności jest próbą „startu od zera” – postawieniem podstawowych pytań o kształt i język przyszłości.</w:t>
      </w:r>
    </w:p>
    <w:p w:rsidR="00643D9B" w:rsidRPr="003C5B94" w:rsidRDefault="00643D9B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lastRenderedPageBreak/>
        <w:t>Departament podzielony jest na bloki – „programy rezydencyjne” dla instytucji, ośrodków badawczych, kolektywów, a także indywidualnych twórc</w:t>
      </w:r>
      <w:bookmarkStart w:id="0" w:name="_GoBack"/>
      <w:bookmarkEnd w:id="0"/>
      <w:r w:rsidRPr="003C5B94">
        <w:rPr>
          <w:rFonts w:ascii="Theinhardt Regular" w:hAnsi="Theinhardt Regular" w:cstheme="majorHAnsi"/>
          <w:color w:val="auto"/>
          <w:sz w:val="24"/>
          <w:szCs w:val="24"/>
        </w:rPr>
        <w:t>ów i badaczy, którzy zaproszą publiczność Muzeum do wspólnej negocjacji stanowisk i postaw.</w:t>
      </w:r>
    </w:p>
    <w:p w:rsidR="00643D9B" w:rsidRPr="003C5B94" w:rsidRDefault="00643D9B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Gośćmi pierwszej edycji Departamentu Obecności będą m.in. Kem – platforma współczesnej choreografii i performansu, nowo powołane Biennale Warszawa, interdyscyplinarna instytucja publiczna łącząca działalność badawczą, aktywistyczną i artystyczną, hiszpański filozof i pisarz Paul B. Preciado. Ponadto w Departamencie Obecności przewidziane są pokazy kina syryjskiego, cyfrowe interwencje samozwańczych start-upów, mikrorezydencje artystów performansu oraz działania Grupy Rekonstrukcyjnej, której celem jest poszukiwanie nowych znaczeń i zastosowań dla dzieł oraz praktyk artystycznych z XX i XXI wieku.</w:t>
      </w:r>
    </w:p>
    <w:p w:rsidR="00643D9B" w:rsidRPr="003C5B94" w:rsidRDefault="00643D9B" w:rsidP="00427F65">
      <w:pPr>
        <w:jc w:val="both"/>
        <w:rPr>
          <w:rFonts w:ascii="Theinhardt Regular" w:hAnsi="Theinhardt Regular" w:cstheme="majorHAnsi"/>
          <w:strike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CYKLE:</w:t>
      </w:r>
    </w:p>
    <w:p w:rsidR="003C5B94" w:rsidRPr="003C5B94" w:rsidRDefault="003C5B94" w:rsidP="00427F65">
      <w:pPr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3C5B94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8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8"/>
        </w:rPr>
        <w:t xml:space="preserve">KEM. KEM CARE </w:t>
      </w:r>
    </w:p>
    <w:p w:rsidR="003C5B94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8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8"/>
        </w:rPr>
        <w:t>14.02-4.04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Kem Care to sześciotygodniowy program, który został przygotowany przez Kem dla Departamentu Obecności. Kem Care czerpie zarów</w:t>
      </w:r>
      <w:r w:rsidR="003C5B94">
        <w:rPr>
          <w:rFonts w:ascii="Theinhardt Regular" w:hAnsi="Theinhardt Regular" w:cstheme="majorHAnsi"/>
          <w:color w:val="auto"/>
          <w:sz w:val="24"/>
          <w:szCs w:val="24"/>
        </w:rPr>
        <w:t>no z ruchu emancypacyjnego, jak</w:t>
      </w:r>
      <w:r w:rsidR="003C5B94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>i cielesnego, intuicyjnego i niewerbalnego doświadczenia. Program składa się z różnych formatów, takich jak dyskusje, warsztaty, zajęcia i pokazy, które koncentrują się na polityce cielesności, emocji i współzależności. Troska jest tutaj okazją do feministycznego i queerowego rozwijania sposobów bycia razem, otwarcia na inność i stawiania oporu. Kem Care rozpocznie się 14 lutego queerowym, walentynkowym wieczorem, podczas którego, między innymi Ania Nowak zrobi oprowadzanie po blogu Technologies of Love, Negroma zaprezentuje performans dźwiękowy, a Facheroia zagra set. W sobotę 17 lutego odbędzie się pierwsze z serii spotkań pt. „Język oporu” - o strategiach przeciwstawiania się naznaczaniu przestrzeni publicznej strukturami o charakterze rasistowskim, islamofobicznym, seksistowskim, homofobicznym i transfobicznym. Podczas trwania rezydencji odbędą się spotkania z feministycznymi i queerowymi organizacjami, których celem będzie rozwijanie wzajemnych relacji oraz podjęcie refleksji na temat sposobów długofalowej współpracy.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4"/>
          <w:szCs w:val="24"/>
        </w:rPr>
        <w:t xml:space="preserve"> </w:t>
      </w:r>
    </w:p>
    <w:p w:rsidR="003C5B94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BIENNALE WARSZAWA. ATLAS PLANETARNEJ PRZEMOCY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5.04-27.05</w:t>
      </w:r>
    </w:p>
    <w:p w:rsidR="00583063" w:rsidRPr="003C5B94" w:rsidRDefault="00583063" w:rsidP="00427F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</w:pP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Biennale Warszawa to nowa formuła Teatru „Scena Prezentacje”, wprowadzaja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ca model dzia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ł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ania charakterystyczny dla instytucji publicznej nowego typu, 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ł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cza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cej dzia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ł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alność badawcza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, aktywistyczna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 i artystyczna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.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 </w:t>
      </w:r>
    </w:p>
    <w:p w:rsidR="00583063" w:rsidRPr="003C5B94" w:rsidRDefault="00583063" w:rsidP="00427F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</w:pP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Biennale Warszawa to takz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̇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e nazwa nowego transdyscyplinarnego i mie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dzynarodowego wydarzenia kulturalno-politycznego, tworzonego w Warszawie, którego pierwsza edycja odbywa sie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 w latach 2017-2019. Jest ono realizowane zar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ó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wno w ramach sta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ł</w:t>
      </w:r>
      <w:r w:rsid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ego programu, jak</w:t>
      </w:r>
      <w:r w:rsid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br/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i kilkutygodniowego festiwalu, zamykaja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cego dwuletni cykl pracy.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 </w:t>
      </w:r>
    </w:p>
    <w:p w:rsidR="00583063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Podczas rezydencji w Departamencie Obecności Biennale Warszawa zaprezentuje program dyskursywno-performatywny zatytułowany „Atlas Planetarnej Przemocy”, w ramach którego 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lastRenderedPageBreak/>
        <w:t>pokazane zostana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 dwie nowe produkcje: 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„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Globalna Wojna Domowa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”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 w rez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̇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yserii Paw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ł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a Wodzińskiego i „Modern Slavery” w rez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̇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yserii Bartosza Fra</w:t>
      </w:r>
      <w:r w:rsidRPr="003C5B94">
        <w:rPr>
          <w:rFonts w:eastAsia="SimSun"/>
          <w:color w:val="auto"/>
          <w:sz w:val="24"/>
          <w:szCs w:val="24"/>
          <w:lang w:val="en-US" w:eastAsia="zh-CN"/>
        </w:rPr>
        <w:t>̨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ckowiaka, analizuj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ą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ce przyczyny zwrotu nacjonalistycznego na 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ś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wiecie oraz - powi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ą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zane z globalnymi ruchami migracyjnymi - zjawisko wsp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ół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czesnego niewolnictwa. Na program sk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ł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adaj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ą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 si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ę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 xml:space="preserve"> tak</w:t>
      </w:r>
      <w:r w:rsidRPr="003C5B94">
        <w:rPr>
          <w:rFonts w:ascii="Theinhardt Regular" w:eastAsia="SimSun" w:hAnsi="Theinhardt Regular" w:cs="Theinhardt Regular"/>
          <w:color w:val="auto"/>
          <w:sz w:val="24"/>
          <w:szCs w:val="24"/>
          <w:lang w:val="en-US" w:eastAsia="zh-CN"/>
        </w:rPr>
        <w:t>ż</w:t>
      </w:r>
      <w:r w:rsidRPr="003C5B94">
        <w:rPr>
          <w:rFonts w:ascii="Theinhardt Regular" w:eastAsia="SimSun" w:hAnsi="Theinhardt Regular"/>
          <w:color w:val="auto"/>
          <w:sz w:val="24"/>
          <w:szCs w:val="24"/>
          <w:lang w:val="en-US" w:eastAsia="zh-CN"/>
        </w:rPr>
        <w:t>e dwa projekty warsztatowe, realizowane przez Marthę Bouziouri i Linę Saneh, oraz blok dyskursywno-wykładowy, z udziałem m.in.Andrzeja Ledera i Harry’ego Cleavera</w:t>
      </w:r>
      <w:r w:rsidRPr="003C5B94">
        <w:rPr>
          <w:rFonts w:ascii="Theinhardt Regular" w:hAnsi="Theinhardt Regular"/>
          <w:color w:val="auto"/>
          <w:sz w:val="24"/>
          <w:szCs w:val="24"/>
        </w:rPr>
        <w:t xml:space="preserve">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/>
          <w:color w:val="auto"/>
          <w:sz w:val="24"/>
          <w:szCs w:val="24"/>
        </w:rPr>
        <w:t>„Globalna Wojna Domowa (Manifesty)”, w reż. Pawła</w:t>
      </w:r>
      <w:r w:rsidR="00D5421B">
        <w:rPr>
          <w:rFonts w:ascii="Theinhardt Regular" w:hAnsi="Theinhardt Regular"/>
          <w:color w:val="auto"/>
          <w:sz w:val="24"/>
          <w:szCs w:val="24"/>
        </w:rPr>
        <w:t xml:space="preserve"> Wodzińskiego. Termin premiery:</w:t>
      </w:r>
      <w:r w:rsidR="00D5421B">
        <w:rPr>
          <w:rFonts w:ascii="Theinhardt Regular" w:hAnsi="Theinhardt Regular"/>
          <w:color w:val="auto"/>
          <w:sz w:val="24"/>
          <w:szCs w:val="24"/>
        </w:rPr>
        <w:br/>
      </w:r>
      <w:r w:rsidRPr="003C5B94">
        <w:rPr>
          <w:rFonts w:ascii="Theinhardt Regular" w:hAnsi="Theinhardt Regular"/>
          <w:color w:val="auto"/>
          <w:sz w:val="24"/>
          <w:szCs w:val="24"/>
        </w:rPr>
        <w:t xml:space="preserve">12 kwietnia, Spektakle: 13, 14, 15 kwietnia oraz „Modern Slavery”  (Współczesne niewolnictwo)  w reż. Bartosza Frąckowiaka, Termin premiery: 17 maja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/>
          <w:color w:val="auto"/>
          <w:sz w:val="24"/>
          <w:szCs w:val="24"/>
        </w:rPr>
        <w:t>Spektakle: 18, 19, 20 maja</w:t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>.</w:t>
      </w:r>
    </w:p>
    <w:p w:rsidR="00643D9B" w:rsidRPr="003C5B94" w:rsidRDefault="00643D9B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3C5B94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BIURO TEKSTÓW JAWNYCH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28.05-17.06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Kuratorzy: Łukasz Ronduda, Natalia Sielewicz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Biuro Tekstów Jawnych to interdyscyplinarny kolektyw, pseudo-start-up i grupa badawcza analizująca rolę nowych mediów w obecnym kryzysie komunikacji i politycznego przekazu.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Swoją nazwę kolektyw zapożycza z dziedziny kryptografii nawiązując do wiadomości, która nie została jeszcze zamieniona na szyfrogram lub którą właśnie odszyfrowano. Głównym celem Biura Tekstów Jawnych jest inicjowanie wymiany wiedzy pomiędzy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t xml:space="preserve"> środowiskami programistycznymi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>a humanistycznymi oraz próba odpowiedzi na pytanie jak promować obiektywne treści w czasach dezinformacji, nadużyć interpretacyjnych i gier retorycznych.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Grupa, w skład której wchodzą badaczka kultury Iwona Kurz, kuratorzy Muzeum Natalia Sielewicz i Łukasz Ronduda, artysta Gregor Różański i dziennikarz Jakub Wencel, współpracuje ze studentami informatyki nad praktycznym narzędziem mogącym krytycznie operować we współczesnej sferze medialnej.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Biuro Tekstów Jawnych to również seminarium teoretyczne i warsztaty z udziałem takich gości, jak brytyjski filmowiec Adam Curtis czy duet artystyczny Slavs &amp; Tatars. Wspólnie zastanawiać się będą jak przeciwdziałać całkowitemu załamaniu komunikacji i zrozumienia w erze postprawdy, dominacji emocjonalnego subiektywizmu oraz braku zaufania do ekspertów.</w:t>
      </w:r>
    </w:p>
    <w:p w:rsidR="00643D9B" w:rsidRPr="003C5B94" w:rsidRDefault="00643D9B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3C5B94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DUMA I UPRZEDZENIE: NOWE PRAKTYKI GODNOŚCIOWE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1.09-30.09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Kuratorka: Natalia Sielewicz</w:t>
      </w:r>
    </w:p>
    <w:p w:rsidR="00583063" w:rsidRPr="003C5B94" w:rsidRDefault="00583063" w:rsidP="00427F65">
      <w:pPr>
        <w:jc w:val="both"/>
        <w:rPr>
          <w:rFonts w:ascii="Theinhardt Regular" w:eastAsia="Times New Roman" w:hAnsi="Theinhardt Regular" w:cs="Times New Roman"/>
          <w:color w:val="auto"/>
          <w:sz w:val="24"/>
          <w:szCs w:val="24"/>
          <w:lang w:val="en-US" w:eastAsia="en-US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 xml:space="preserve">Czy jesteśmy w stanie wyobrazić sobie nową politykę tożsamościową, która wyzwala inny rejestr emocji i ma charakter emancypacyjny? W ramach wrześniowej odsłony Departamentu Obecności jego przestrzeń wypełnią interwencje artystyczne i performatywne, sesje terapeutyczne, koncerty i warsztaty antyprzemocowe problematyzujące napięcia wokół kodów identyfikacji klasowej, rasowej i seksualnej. „Fabuła” i dramaturgia (nie)wystawy "Duma i uprzedzenie: nowe praktyki godnościowe" rozgrywa się w okresie czterech tygodni w czterech odsłonach. Każdy rozdział będzie miał odrębną manifestację przestrzenną i performatywną interwencję przygotowaną specjalnie przez jedno z pięciorga zaproszonych artystów: Annę Niesterowicz, tematyzującą problem języka nienawiści, Sagg Napoli, włoską artystkę i orędowniczkę estetyki Południa, Gregora Różańskiego, który stworzy projekt będący refleksją nad prowincjonalną </w:t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lastRenderedPageBreak/>
        <w:t xml:space="preserve">nowoczesnością i retoryką godnościową, Sarę Sadik, performerkę francusko-marokańskiego pochodzenia, która w swojej twórczości ujawnia i zderza ze sobą stereotypy białej klasy średniej na temat imigrantów z północnej Afryki,  Mikołaja Sobczaka problematyzującego szerokorozumiane wykluczenie w odniesienie do polityki historycznej i ruchu drag, oraz </w:t>
      </w:r>
      <w:r w:rsidRPr="003C5B94">
        <w:rPr>
          <w:rFonts w:ascii="Theinhardt Regular" w:eastAsia="Times New Roman" w:hAnsi="Theinhardt Regular"/>
          <w:color w:val="auto"/>
          <w:sz w:val="24"/>
          <w:szCs w:val="24"/>
          <w:shd w:val="clear" w:color="auto" w:fill="FFFFFF"/>
          <w:lang w:val="en-US" w:eastAsia="en-US"/>
        </w:rPr>
        <w:t>Wojciecha Pusia, który wraz z grupą performerów wyznacza nowe pola queerowej abstrakcji, otwartej wspólnoty bazującej na zmysłowym doświadczeniu czasoprzestrzeni.</w:t>
      </w:r>
    </w:p>
    <w:p w:rsidR="00643D9B" w:rsidRPr="003C5B94" w:rsidRDefault="00643D9B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643D9B" w:rsidRPr="003C5B94" w:rsidRDefault="00643D9B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3C5B94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KINOMUZEUM: SYRIA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3.10-30.10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Kuratorzy: Magda Lipska, Łukasz Ronduda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Festiwal KinoMuzeum to przede wszystkim miejsce spotkań przy dużym ekranie poświęcone najciekawszym zjawiskom sztuki filmowej z obszaru sztuki współczesnej i kina.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Czwarta edycja festiwalu skupiona będzie niemal całkowicie na prezentacji twórczości filmowej syryjskich artystów, która uchodzi obecnie za jedno z najciekawszych zjawisk w kinematografii światowej. Artyści z Syrii po doświadczeniu wojny domow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t>ej, żyjący głównie na emigracji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>i w diasporze zwykli twierdzić, że „nie ma czegoś takiego jak kino syryjskie, istnieją tylko syryjscy filmowcy”. Festiwal KinoMuzeum: Syria poza projekcja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t>mi wypełniony będzie dyskusjami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>i spotkaniami z twórcami z Syrii. Pokażemy nie tylko filmy fabularne, ale również polityczny dokument i zaangażowaną animację. Specjalne pokazy w ramach festiwalu przygotują znawczyni kina syryjskiego Rasha Salti i Hila Peleg, kuratorka Documentary Forum w Berlinie.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Festiwal towarzyszyć będzie rezydencji syryjskiego filmowca/filmowczyni w Muzeum, która rozpocznie się w czerwcu 2018 roku.</w:t>
      </w:r>
    </w:p>
    <w:p w:rsidR="00643D9B" w:rsidRPr="003C5B94" w:rsidRDefault="00643D9B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3C5B94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PARLAMENT CIAŁ. PROGRAM PAULA B. PRECIADO I VICTORA NEUMANNA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13.10-30.11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Kuratorka: Marta Dziewańska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W ramach jesiennej odsłony Departamentu Obec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t>ności Muzeum Sztuki Nowoczesnej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>w Warszawie zaprasza Paula. B Preciado do wykuratorowania kilkutygodniowego programu dyskursywno-performatywnego. Paul B. Preciado jest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t xml:space="preserve"> filozofem, pisarzem, kuratorem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 xml:space="preserve">i transseksualnym aktywistą. W 2008 roku, jeszcze jako Beatriz Preciado, opublikował trudno klasyfikowalny esej, który zbulwersował świat akademicki. </w:t>
      </w:r>
      <w:r w:rsidRPr="003C5B94">
        <w:rPr>
          <w:rFonts w:ascii="Theinhardt Regular" w:hAnsi="Theinhardt Regular" w:cstheme="majorHAnsi"/>
          <w:color w:val="auto"/>
          <w:sz w:val="24"/>
          <w:szCs w:val="24"/>
          <w:lang w:val="en-US"/>
        </w:rPr>
        <w:t xml:space="preserve">"Testo Junkie. Sex, Drugs, and Biopolitics in the Pharmacopornographic Era" (Testo-ćpun. </w:t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 xml:space="preserve">Sex, narkotyki, i biopolityka w erze farmakopornografii) to pisana w pierwszej osobie relacja z przyjmowania testosteronu poza protokołem medycznym. Książka ta jest bezpośrednim (krytycznym) nawiązaniem do poświęconej związkom seksualności i władzy "Historii seksualności" Michela Foucaulta, ale też eksperymentem politycznym: relacją z aktu indywidualnego nieposłuszeństwa – hakowania normatywności płci narzędziami, które te normy nieustannie i na przemysłową skalę (re-)produkują. Paul B. Preciado - uzyskał tytuł magistra filozofii i teorii płci w New School for Social Research w Nowym Jorku, gdzie studiował u Agnes Heller i Jacquesa Derridy. Doktorat z filozofii i teorii architektury obronił na Uniwersytecie Princeton (2010). Jego pierwsza książka, "Contra-Sexual Manifesto" (Manifest przeciw-seksualny, 2000, wydanie angielskie: 2017) została uznana przez krytyków za "czerwoną księgę teorii queer" i stała się kluczowym punktem odniesienia dla </w:t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lastRenderedPageBreak/>
        <w:t>europejskiego aktywizmu queer i trans. Poza "Testo Junkie" (2008, wydanie angielskie 2013) jest autorem "Pornotopia: Architecture and Sexuality in Playboy During the Cold War" (Pornotopia: architektura i seksualność w magazynie „Playboy” w czasach zimnej wojny, 2014) – książki za którą otrzymał nagrodę francuskiego Prix Sade de l'essai. Preciado kierował działem badań i niezależnym programem studiów (PEI) w Muzeum Sztuki Współczesnej w Barcelonie (MACBA). W 2017 roku jako kurator wydarzeń publicz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t>nych Documenta 14, zorganizował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>i animował „Parlament Ciał” (The Parliament of Bodies) inspirowany eksperymentalną pedagogiką, metodologiami feministycznymi, antykolonialnymi i queerowymi. Program ten łączył artystów, teoretyków i aktywistów we wspólnym działaniu. W czasach kryzysu humanitarnego, powrotu ksenofobicznych państw narodowych dążących do odtworzenia supremacji białych mężczyzn i zniweczenia demokratycznych osiągnięć ruchów pracowniczych, antykolonialnych, czy feministycznych, „Parlament Ciał” stanowił propozycję zwrócenia się do podstaw: do języka, do ciała, do coraz bardziej zagrożonej wspólnoty.</w:t>
      </w:r>
    </w:p>
    <w:p w:rsidR="00643D9B" w:rsidRPr="003C5B94" w:rsidRDefault="00643D9B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HAŁAS/SZUM: OD D</w:t>
      </w:r>
      <w:r w:rsid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ŹWIEKU DO RELACJI SPOŁECZNYCH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Przez cały czas trwania programu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Kurator: Paweł Nowożycki</w:t>
      </w:r>
    </w:p>
    <w:p w:rsidR="00643D9B" w:rsidRPr="003C5B94" w:rsidRDefault="00583063" w:rsidP="003C5B94">
      <w:pPr>
        <w:spacing w:line="240" w:lineRule="auto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="Calibri"/>
          <w:color w:val="auto"/>
          <w:sz w:val="24"/>
          <w:szCs w:val="24"/>
        </w:rPr>
        <w:t>W ramach pierwszej edycji Departamentu Obecności Matt</w:t>
      </w:r>
      <w:r w:rsidR="00D5421B">
        <w:rPr>
          <w:rFonts w:ascii="Theinhardt Regular" w:hAnsi="Theinhardt Regular" w:cs="Calibri"/>
          <w:color w:val="auto"/>
          <w:sz w:val="24"/>
          <w:szCs w:val="24"/>
        </w:rPr>
        <w:t>in, baskijski artysta pracujący</w:t>
      </w:r>
      <w:r w:rsidR="00D5421B">
        <w:rPr>
          <w:rFonts w:ascii="Theinhardt Regular" w:hAnsi="Theinhardt Regular" w:cs="Calibri"/>
          <w:color w:val="auto"/>
          <w:sz w:val="24"/>
          <w:szCs w:val="24"/>
        </w:rPr>
        <w:br/>
      </w:r>
      <w:r w:rsidRPr="003C5B94">
        <w:rPr>
          <w:rFonts w:ascii="Theinhardt Regular" w:hAnsi="Theinhardt Regular" w:cs="Calibri"/>
          <w:color w:val="auto"/>
          <w:sz w:val="24"/>
          <w:szCs w:val="24"/>
        </w:rPr>
        <w:t>z hałasem/szumem i improwizacją oraz działacz antykapitalistyczny i aktywista ruchu anti-copyright, prowadzić będzie research performatywny pod roboczym tytułem „The Ideological Cage”.</w:t>
      </w:r>
    </w:p>
    <w:p w:rsidR="00643D9B" w:rsidRPr="00D5421B" w:rsidRDefault="00583063" w:rsidP="00D5421B">
      <w:pPr>
        <w:jc w:val="both"/>
        <w:rPr>
          <w:rFonts w:ascii="Theinhardt Regular" w:hAnsi="Theinhardt Regular" w:cs="Calibri"/>
          <w:color w:val="auto"/>
          <w:sz w:val="24"/>
          <w:szCs w:val="24"/>
        </w:rPr>
      </w:pPr>
      <w:r w:rsidRPr="003C5B94">
        <w:rPr>
          <w:rFonts w:ascii="Theinhardt Regular" w:hAnsi="Theinhardt Regular" w:cs="Calibri"/>
          <w:color w:val="auto"/>
          <w:sz w:val="24"/>
          <w:szCs w:val="24"/>
        </w:rPr>
        <w:t>Wykraczając poza rozumienie hałasu/szumu jako „niechcianego dźwięku” o</w:t>
      </w:r>
      <w:r w:rsidR="00D5421B">
        <w:rPr>
          <w:rFonts w:ascii="Theinhardt Regular" w:hAnsi="Theinhardt Regular" w:cs="Calibri"/>
          <w:color w:val="auto"/>
          <w:sz w:val="24"/>
          <w:szCs w:val="24"/>
        </w:rPr>
        <w:t>raz kodyfikowanie</w:t>
      </w:r>
      <w:r w:rsidR="00D5421B">
        <w:rPr>
          <w:rFonts w:ascii="Theinhardt Regular" w:hAnsi="Theinhardt Regular" w:cs="Calibri"/>
          <w:color w:val="auto"/>
          <w:sz w:val="24"/>
          <w:szCs w:val="24"/>
        </w:rPr>
        <w:br/>
      </w:r>
      <w:r w:rsidRPr="003C5B94">
        <w:rPr>
          <w:rFonts w:ascii="Theinhardt Regular" w:hAnsi="Theinhardt Regular" w:cs="Calibri"/>
          <w:color w:val="auto"/>
          <w:sz w:val="24"/>
          <w:szCs w:val="24"/>
        </w:rPr>
        <w:t>i neutralizowanie go jako gatunku muzycznego, różne znaczenia i użycia pojęcia hałasu/szumu (od studiów dźwiękowych i filozofii po teorię komunikacji i afektu) będą rozpatrywane w celu zbadania ich potencjału politycznego. Przesuwając uwagę z kontekstu dźwiękowego na społeczny i redefiniując relacje między publicznośc</w:t>
      </w:r>
      <w:r w:rsidR="00D5421B">
        <w:rPr>
          <w:rFonts w:ascii="Theinhardt Regular" w:hAnsi="Theinhardt Regular" w:cs="Calibri"/>
          <w:color w:val="auto"/>
          <w:sz w:val="24"/>
          <w:szCs w:val="24"/>
        </w:rPr>
        <w:t>ią a wykonawcą, Mattin wspólnie</w:t>
      </w:r>
      <w:r w:rsidR="00D5421B">
        <w:rPr>
          <w:rFonts w:ascii="Theinhardt Regular" w:hAnsi="Theinhardt Regular" w:cs="Calibri"/>
          <w:color w:val="auto"/>
          <w:sz w:val="24"/>
          <w:szCs w:val="24"/>
        </w:rPr>
        <w:br/>
      </w:r>
      <w:r w:rsidRPr="003C5B94">
        <w:rPr>
          <w:rFonts w:ascii="Theinhardt Regular" w:hAnsi="Theinhardt Regular" w:cs="Calibri"/>
          <w:color w:val="auto"/>
          <w:sz w:val="24"/>
          <w:szCs w:val="24"/>
        </w:rPr>
        <w:t xml:space="preserve">z zaproszonymi przez siebie gośćmi i uczestnikami Departamentu Obecności odnosić się będzie do ekonomicznych oraz politycznych dyskusji na temat naszej krytycznej teraźniejszości . Różne formaty i aktywności (niektóre bardziej widoczne, inne mniej), takie jak konwersacje, performansy, koncerty, warsztaty i partytury konceptualne, zostaną zaproponowane, aby przekształcać relacje społeczne za pomocą środków muzycznych (sprzężeń, zakłóceń, dysonansów, ciszy i głośności) ujawniając ideologiczne oraz klasowe pozycjonowanie się, które uniemożliwia nam zmiany na poziomie strukturalnym. W jaki sposób hałas/szum może pomóc nam w poszukiwaniu alternatywnych form uspołecznienia? </w:t>
      </w:r>
    </w:p>
    <w:p w:rsidR="00643D9B" w:rsidRPr="003C5B94" w:rsidRDefault="00643D9B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4"/>
          <w:szCs w:val="24"/>
        </w:rPr>
      </w:pPr>
    </w:p>
    <w:p w:rsidR="003C5B94" w:rsidRPr="003C5B94" w:rsidRDefault="003C5B94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bookmarkStart w:id="1" w:name="__DdeLink__449_481205515"/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GRUPA REKONSTRUKCYJNA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b/>
          <w:color w:val="auto"/>
          <w:sz w:val="28"/>
          <w:szCs w:val="24"/>
        </w:rPr>
      </w:pPr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>Przez cały czas trwania programu</w:t>
      </w:r>
      <w:bookmarkEnd w:id="1"/>
      <w:r w:rsidRPr="003C5B94">
        <w:rPr>
          <w:rFonts w:ascii="Theinhardt Regular" w:hAnsi="Theinhardt Regular" w:cstheme="majorHAnsi"/>
          <w:b/>
          <w:color w:val="auto"/>
          <w:sz w:val="28"/>
          <w:szCs w:val="24"/>
        </w:rPr>
        <w:t xml:space="preserve"> </w:t>
      </w:r>
    </w:p>
    <w:p w:rsidR="00643D9B" w:rsidRPr="003C5B94" w:rsidRDefault="00583063" w:rsidP="00427F65">
      <w:pPr>
        <w:spacing w:line="240" w:lineRule="auto"/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Kurator: Sebastian Cichocki</w:t>
      </w: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 w:cstheme="majorHAnsi"/>
          <w:color w:val="auto"/>
          <w:sz w:val="24"/>
          <w:szCs w:val="24"/>
        </w:rPr>
        <w:t>Grupa Rekonstrukcyjna została zawiązana wiosną 2017 roku jako element programu Parku Rzeźby na Bródnie, we współpracy m.in. z młodzieżą uczestniczą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t>cą w programie Wejdź</w:t>
      </w:r>
      <w:r w:rsidR="00D5421B">
        <w:rPr>
          <w:rFonts w:ascii="Theinhardt Regular" w:hAnsi="Theinhardt Regular" w:cstheme="majorHAnsi"/>
          <w:color w:val="auto"/>
          <w:sz w:val="24"/>
          <w:szCs w:val="24"/>
        </w:rPr>
        <w:br/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t xml:space="preserve">w Muzeum oraz studentami Wydziału Zarządzania Kulturą Wizualną ASP Warszawa. Z czasem GR stała się niezależną platformą, której celem jest poszukiwanie nowych znaczeń i zastosowań dla </w:t>
      </w:r>
      <w:r w:rsidRPr="003C5B94">
        <w:rPr>
          <w:rFonts w:ascii="Theinhardt Regular" w:hAnsi="Theinhardt Regular" w:cstheme="majorHAnsi"/>
          <w:color w:val="auto"/>
          <w:sz w:val="24"/>
          <w:szCs w:val="24"/>
        </w:rPr>
        <w:lastRenderedPageBreak/>
        <w:t>dzieł oraz praktyk artystycznych z XX i XXI wieku. Działania Grupy Rekonstrukcyjnej składają się na program „uczestniczących wykładów”, używających historii sztuki w praktyce, poprzez powtórzenia i rekonstrukcje. Grupa sięga m.in. do zasobów artystycznych scenariuszy Museum of Arte Útil, gromadzonych przez kubańską artystkę Tanię Bruguerę, instrukcji tworzonych przez artystów konceptualnych w latach 60. i 70., partytur eksperymentujących kompozytorów, ćwiczeń architektów i choreografów. Rekonstrukcja jest nie tylko żywą lekcją historii sztuki, to także test na żywotność i skuteczność artystycznych propozycji z przeszłości. Poprzez odtwarzanie, sztuka staje się częścią codziennego życia: gromadzeniem się, wspólnym sadzeniem drzew, badaniem miasta czy aktem obywatelskiego nieposłuszeństwa.</w:t>
      </w:r>
    </w:p>
    <w:p w:rsidR="00643D9B" w:rsidRDefault="00643D9B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3C5B94" w:rsidRDefault="003C5B94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3C5B94" w:rsidRPr="003C5B94" w:rsidRDefault="003C5B94" w:rsidP="00427F65">
      <w:pPr>
        <w:jc w:val="both"/>
        <w:rPr>
          <w:rFonts w:ascii="Theinhardt Regular" w:hAnsi="Theinhardt Regular" w:cstheme="majorHAnsi"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/>
          <w:b/>
          <w:color w:val="auto"/>
          <w:sz w:val="24"/>
          <w:szCs w:val="24"/>
        </w:rPr>
        <w:t>Program i więcej informacji na – departament.artmuseum.pl</w:t>
      </w:r>
    </w:p>
    <w:p w:rsidR="00643D9B" w:rsidRPr="003C5B94" w:rsidRDefault="00643D9B" w:rsidP="00427F65">
      <w:pPr>
        <w:jc w:val="both"/>
        <w:rPr>
          <w:rFonts w:ascii="Theinhardt Regular" w:hAnsi="Theinhardt Regular"/>
          <w:b/>
          <w:color w:val="auto"/>
          <w:sz w:val="24"/>
          <w:szCs w:val="24"/>
        </w:rPr>
      </w:pPr>
    </w:p>
    <w:p w:rsidR="00643D9B" w:rsidRPr="003C5B94" w:rsidRDefault="00583063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/>
          <w:b/>
          <w:color w:val="auto"/>
          <w:sz w:val="24"/>
          <w:szCs w:val="24"/>
        </w:rPr>
        <w:t xml:space="preserve">Wszystkie wydarzenia odbywać się będą w Muzeum </w:t>
      </w:r>
      <w:r w:rsidR="003C5B94">
        <w:rPr>
          <w:rFonts w:ascii="Theinhardt Regular" w:hAnsi="Theinhardt Regular"/>
          <w:b/>
          <w:color w:val="auto"/>
          <w:sz w:val="24"/>
          <w:szCs w:val="24"/>
        </w:rPr>
        <w:t>Sztuki Nowoczesnej w Warszawie,</w:t>
      </w:r>
      <w:r w:rsidR="003C5B94">
        <w:rPr>
          <w:rFonts w:ascii="Theinhardt Regular" w:hAnsi="Theinhardt Regular"/>
          <w:b/>
          <w:color w:val="auto"/>
          <w:sz w:val="24"/>
          <w:szCs w:val="24"/>
        </w:rPr>
        <w:br/>
      </w:r>
      <w:r w:rsidRPr="003C5B94">
        <w:rPr>
          <w:rFonts w:ascii="Theinhardt Regular" w:hAnsi="Theinhardt Regular"/>
          <w:b/>
          <w:color w:val="auto"/>
          <w:sz w:val="24"/>
          <w:szCs w:val="24"/>
        </w:rPr>
        <w:t>ul. Pańska 3</w:t>
      </w:r>
    </w:p>
    <w:p w:rsidR="00643D9B" w:rsidRPr="003C5B94" w:rsidRDefault="00643D9B" w:rsidP="00427F65">
      <w:pPr>
        <w:jc w:val="both"/>
        <w:rPr>
          <w:rFonts w:ascii="Theinhardt Regular" w:hAnsi="Theinhardt Regular"/>
          <w:b/>
          <w:color w:val="auto"/>
          <w:sz w:val="24"/>
          <w:szCs w:val="24"/>
        </w:rPr>
      </w:pPr>
    </w:p>
    <w:p w:rsidR="00643D9B" w:rsidRPr="003C5B94" w:rsidRDefault="00583063" w:rsidP="00427F65">
      <w:pPr>
        <w:pStyle w:val="Domylne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/>
          <w:b/>
          <w:color w:val="auto"/>
          <w:sz w:val="24"/>
          <w:szCs w:val="24"/>
        </w:rPr>
        <w:t>Kontakt dla prasy:</w:t>
      </w:r>
    </w:p>
    <w:p w:rsidR="00643D9B" w:rsidRPr="003C5B94" w:rsidRDefault="00583063" w:rsidP="00427F65">
      <w:pPr>
        <w:pStyle w:val="Domylne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/>
          <w:color w:val="auto"/>
          <w:sz w:val="24"/>
          <w:szCs w:val="24"/>
        </w:rPr>
        <w:t xml:space="preserve">Michał Szymko </w:t>
      </w:r>
      <w:hyperlink r:id="rId10">
        <w:r w:rsidRPr="003C5B94">
          <w:rPr>
            <w:rStyle w:val="czeinternetowe"/>
            <w:rFonts w:ascii="Theinhardt Regular" w:hAnsi="Theinhardt Regular"/>
            <w:color w:val="auto"/>
            <w:sz w:val="24"/>
            <w:szCs w:val="24"/>
          </w:rPr>
          <w:t>michal.szymko@artmuseum.pl</w:t>
        </w:r>
      </w:hyperlink>
      <w:r w:rsidRPr="003C5B94">
        <w:rPr>
          <w:rFonts w:ascii="Theinhardt Regular" w:hAnsi="Theinhardt Regular"/>
          <w:color w:val="auto"/>
          <w:sz w:val="24"/>
          <w:szCs w:val="24"/>
        </w:rPr>
        <w:t xml:space="preserve"> / </w:t>
      </w:r>
      <w:hyperlink r:id="rId11">
        <w:r w:rsidRPr="003C5B94">
          <w:rPr>
            <w:rStyle w:val="czeinternetowe"/>
            <w:rFonts w:ascii="Theinhardt Regular" w:hAnsi="Theinhardt Regular"/>
            <w:color w:val="auto"/>
            <w:sz w:val="24"/>
            <w:szCs w:val="24"/>
          </w:rPr>
          <w:t>prasa@artmuseum.pl</w:t>
        </w:r>
      </w:hyperlink>
      <w:r w:rsidRPr="003C5B94">
        <w:rPr>
          <w:rFonts w:ascii="Theinhardt Regular" w:hAnsi="Theinhardt Regular"/>
          <w:color w:val="auto"/>
          <w:sz w:val="24"/>
          <w:szCs w:val="24"/>
        </w:rPr>
        <w:t xml:space="preserve"> </w:t>
      </w:r>
    </w:p>
    <w:p w:rsidR="00643D9B" w:rsidRPr="003C5B94" w:rsidRDefault="00583063" w:rsidP="00427F65">
      <w:pPr>
        <w:pStyle w:val="Domylne"/>
        <w:jc w:val="both"/>
        <w:rPr>
          <w:rFonts w:ascii="Theinhardt Regular" w:hAnsi="Theinhardt Regular"/>
          <w:color w:val="auto"/>
          <w:sz w:val="24"/>
          <w:szCs w:val="24"/>
        </w:rPr>
      </w:pPr>
      <w:r w:rsidRPr="003C5B94">
        <w:rPr>
          <w:rFonts w:ascii="Theinhardt Regular" w:hAnsi="Theinhardt Regular"/>
          <w:color w:val="auto"/>
          <w:sz w:val="24"/>
          <w:szCs w:val="24"/>
        </w:rPr>
        <w:t>tel. 661289376</w:t>
      </w:r>
    </w:p>
    <w:p w:rsidR="00643D9B" w:rsidRPr="003C5B94" w:rsidRDefault="00643D9B" w:rsidP="00427F65">
      <w:pPr>
        <w:pStyle w:val="Domylne"/>
        <w:jc w:val="both"/>
        <w:rPr>
          <w:rFonts w:ascii="Theinhardt Regular" w:hAnsi="Theinhardt Regular"/>
          <w:b/>
          <w:color w:val="auto"/>
          <w:sz w:val="24"/>
          <w:szCs w:val="24"/>
        </w:rPr>
      </w:pPr>
    </w:p>
    <w:p w:rsidR="00643D9B" w:rsidRPr="003C5B94" w:rsidRDefault="00643D9B" w:rsidP="00427F65">
      <w:pPr>
        <w:jc w:val="both"/>
        <w:rPr>
          <w:rFonts w:ascii="Theinhardt Regular" w:hAnsi="Theinhardt Regular"/>
          <w:color w:val="auto"/>
          <w:sz w:val="24"/>
          <w:szCs w:val="24"/>
        </w:rPr>
      </w:pPr>
    </w:p>
    <w:sectPr w:rsidR="00643D9B" w:rsidRPr="003C5B94" w:rsidSect="003C5B94">
      <w:footerReference w:type="default" r:id="rId12"/>
      <w:pgSz w:w="11906" w:h="16838"/>
      <w:pgMar w:top="993" w:right="991" w:bottom="1440" w:left="993" w:header="0" w:footer="708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38" w:rsidRDefault="00E40B38">
      <w:pPr>
        <w:spacing w:line="240" w:lineRule="auto"/>
      </w:pPr>
      <w:r>
        <w:separator/>
      </w:r>
    </w:p>
  </w:endnote>
  <w:endnote w:type="continuationSeparator" w:id="0">
    <w:p w:rsidR="00E40B38" w:rsidRDefault="00E4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001857"/>
      <w:docPartObj>
        <w:docPartGallery w:val="Page Numbers (Bottom of Page)"/>
        <w:docPartUnique/>
      </w:docPartObj>
    </w:sdtPr>
    <w:sdtEndPr/>
    <w:sdtContent>
      <w:p w:rsidR="00643D9B" w:rsidRDefault="0058306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5421B">
          <w:rPr>
            <w:noProof/>
          </w:rPr>
          <w:t>6</w:t>
        </w:r>
        <w:r>
          <w:fldChar w:fldCharType="end"/>
        </w:r>
      </w:p>
    </w:sdtContent>
  </w:sdt>
  <w:p w:rsidR="00643D9B" w:rsidRDefault="00643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38" w:rsidRDefault="00E40B38">
      <w:pPr>
        <w:spacing w:line="240" w:lineRule="auto"/>
      </w:pPr>
      <w:r>
        <w:separator/>
      </w:r>
    </w:p>
  </w:footnote>
  <w:footnote w:type="continuationSeparator" w:id="0">
    <w:p w:rsidR="00E40B38" w:rsidRDefault="00E40B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9B"/>
    <w:rsid w:val="00075E1B"/>
    <w:rsid w:val="003C5B94"/>
    <w:rsid w:val="00427F65"/>
    <w:rsid w:val="00583063"/>
    <w:rsid w:val="00643D9B"/>
    <w:rsid w:val="00D5421B"/>
    <w:rsid w:val="00E40B38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8A06A"/>
  <w15:docId w15:val="{158AAEEC-2E9B-4FC4-9E5F-A891879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/>
      <w:color w:val="000000"/>
      <w:sz w:val="22"/>
      <w:szCs w:val="22"/>
      <w:lang w:eastAsia="pl-PL" w:bidi="ar-SA"/>
    </w:rPr>
  </w:style>
  <w:style w:type="paragraph" w:styleId="Nagwek1">
    <w:name w:val="heading 1"/>
    <w:basedOn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377DF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8244FF"/>
  </w:style>
  <w:style w:type="character" w:customStyle="1" w:styleId="StopkaZnak">
    <w:name w:val="Stopka Znak"/>
    <w:basedOn w:val="Domylnaczcionkaakapitu"/>
    <w:link w:val="Stopka"/>
    <w:uiPriority w:val="99"/>
    <w:qFormat/>
    <w:rsid w:val="008244FF"/>
  </w:style>
  <w:style w:type="character" w:customStyle="1" w:styleId="apple-converted-space">
    <w:name w:val="apple-converted-space"/>
    <w:basedOn w:val="Domylnaczcionkaakapitu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uiPriority w:val="99"/>
    <w:unhideWhenUsed/>
    <w:rsid w:val="008244FF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244FF"/>
    <w:pPr>
      <w:tabs>
        <w:tab w:val="center" w:pos="4536"/>
        <w:tab w:val="right" w:pos="9072"/>
      </w:tabs>
      <w:spacing w:line="240" w:lineRule="auto"/>
    </w:pPr>
  </w:style>
  <w:style w:type="paragraph" w:customStyle="1" w:styleId="Domylne">
    <w:name w:val="Domyślne"/>
    <w:qFormat/>
    <w:rPr>
      <w:rFonts w:ascii="Helvetica" w:eastAsia="Arial" w:hAnsi="Helvetica" w:cs="Arial Unicode MS"/>
      <w:color w:val="000000"/>
      <w:sz w:val="22"/>
      <w:szCs w:val="22"/>
      <w:u w:color="000000"/>
      <w:lang w:eastAsia="pl-PL" w:bidi="ar-SA"/>
    </w:rPr>
  </w:style>
  <w:style w:type="paragraph" w:customStyle="1" w:styleId="LO-normal">
    <w:name w:val="LO-normal"/>
    <w:qFormat/>
    <w:rPr>
      <w:rFonts w:ascii="Arial" w:eastAsia="Arial" w:hAnsi="Arial"/>
      <w:color w:val="000000"/>
      <w:sz w:val="22"/>
      <w:szCs w:val="2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0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63"/>
    <w:rPr>
      <w:rFonts w:ascii="Lucida Grande" w:eastAsia="Arial" w:hAnsi="Lucida Grande" w:cs="Lucida Grande"/>
      <w:color w:val="000000"/>
      <w:sz w:val="18"/>
      <w:szCs w:val="18"/>
      <w:lang w:eastAsia="pl-PL" w:bidi="ar-SA"/>
    </w:rPr>
  </w:style>
  <w:style w:type="table" w:styleId="Tabela-Siatka">
    <w:name w:val="Table Grid"/>
    <w:basedOn w:val="Standardowy"/>
    <w:uiPriority w:val="39"/>
    <w:rsid w:val="0042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partament-Obecno&#347;ci-33452028706478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partament.artmuseum.p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asa@artmuseum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chal.szymko@artmuseu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departamentobecnos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Iga Winczakiewicz</cp:lastModifiedBy>
  <cp:revision>3</cp:revision>
  <cp:lastPrinted>2018-02-05T15:26:00Z</cp:lastPrinted>
  <dcterms:created xsi:type="dcterms:W3CDTF">2018-02-12T10:47:00Z</dcterms:created>
  <dcterms:modified xsi:type="dcterms:W3CDTF">2018-02-13T15:23:00Z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