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9639" w:type="dxa"/>
        <w:tblLook w:val="04A0" w:firstRow="1" w:lastRow="0" w:firstColumn="1" w:lastColumn="0" w:noHBand="0" w:noVBand="1"/>
      </w:tblPr>
      <w:tblGrid>
        <w:gridCol w:w="3969"/>
        <w:gridCol w:w="5670"/>
      </w:tblGrid>
      <w:tr w:rsidR="00E629FD" w:rsidRPr="00527D54" w:rsidTr="00150A22">
        <w:trPr>
          <w:trHeight w:val="2400"/>
        </w:trPr>
        <w:tc>
          <w:tcPr>
            <w:tcW w:w="3969" w:type="dxa"/>
            <w:tcBorders>
              <w:top w:val="nil"/>
              <w:left w:val="nil"/>
              <w:bottom w:val="nil"/>
              <w:right w:val="nil"/>
            </w:tcBorders>
          </w:tcPr>
          <w:p w:rsidR="00E629FD" w:rsidRPr="00527D54" w:rsidRDefault="005C39E4" w:rsidP="007D6D0B">
            <w:pPr>
              <w:pStyle w:val="Domylne"/>
              <w:pBdr>
                <w:top w:val="none" w:sz="0" w:space="0" w:color="auto"/>
                <w:left w:val="none" w:sz="0" w:space="0" w:color="auto"/>
                <w:bottom w:val="none" w:sz="0" w:space="0" w:color="auto"/>
                <w:right w:val="none" w:sz="0" w:space="0" w:color="auto"/>
                <w:between w:val="none" w:sz="0" w:space="0" w:color="auto"/>
                <w:bar w:val="none" w:sz="0" w:color="auto"/>
              </w:pBdr>
              <w:ind w:left="-105"/>
              <w:jc w:val="both"/>
              <w:rPr>
                <w:rFonts w:ascii="Theinhardt Light" w:hAnsi="Theinhardt Light"/>
                <w:b/>
                <w:bCs/>
                <w:noProof/>
                <w:color w:val="auto"/>
                <w:sz w:val="24"/>
                <w:szCs w:val="24"/>
                <w:u w:color="222222"/>
              </w:rPr>
            </w:pPr>
            <w:r>
              <w:rPr>
                <w:rFonts w:ascii="Theinhardt Light" w:hAnsi="Theinhardt Light"/>
                <w:b/>
                <w:bCs/>
                <w:noProof/>
                <w:color w:val="auto"/>
                <w:sz w:val="24"/>
                <w:szCs w:val="24"/>
                <w:u w:color="2222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65pt">
                  <v:imagedata r:id="rId7" o:title="wysokie M"/>
                </v:shape>
              </w:pict>
            </w:r>
          </w:p>
          <w:p w:rsidR="007D6D0B" w:rsidRPr="00527D54" w:rsidRDefault="007D6D0B" w:rsidP="007D6D0B">
            <w:pPr>
              <w:pStyle w:val="Domylne"/>
              <w:pBdr>
                <w:top w:val="none" w:sz="0" w:space="0" w:color="auto"/>
                <w:left w:val="none" w:sz="0" w:space="0" w:color="auto"/>
                <w:bottom w:val="none" w:sz="0" w:space="0" w:color="auto"/>
                <w:right w:val="none" w:sz="0" w:space="0" w:color="auto"/>
                <w:between w:val="none" w:sz="0" w:space="0" w:color="auto"/>
                <w:bar w:val="none" w:sz="0" w:color="auto"/>
              </w:pBdr>
              <w:ind w:left="-105"/>
              <w:jc w:val="both"/>
              <w:rPr>
                <w:rFonts w:ascii="Theinhardt Light" w:hAnsi="Theinhardt Light"/>
                <w:b/>
                <w:bCs/>
                <w:noProof/>
                <w:color w:val="auto"/>
                <w:sz w:val="24"/>
                <w:szCs w:val="24"/>
                <w:u w:color="222222"/>
              </w:rPr>
            </w:pPr>
          </w:p>
        </w:tc>
        <w:tc>
          <w:tcPr>
            <w:tcW w:w="5670" w:type="dxa"/>
            <w:tcBorders>
              <w:top w:val="nil"/>
              <w:left w:val="nil"/>
              <w:bottom w:val="nil"/>
              <w:right w:val="nil"/>
            </w:tcBorders>
          </w:tcPr>
          <w:p w:rsidR="004E5AD1" w:rsidRPr="00527D54" w:rsidRDefault="004E5AD1" w:rsidP="004E5AD1">
            <w:pPr>
              <w:pStyle w:val="LO-normal"/>
              <w:jc w:val="right"/>
              <w:rPr>
                <w:rFonts w:ascii="Theinhardt Light" w:hAnsi="Theinhardt Light"/>
                <w:b/>
                <w:noProof/>
                <w:sz w:val="24"/>
                <w:szCs w:val="24"/>
              </w:rPr>
            </w:pPr>
          </w:p>
          <w:p w:rsidR="004E5AD1" w:rsidRPr="00527D54" w:rsidRDefault="004E5AD1" w:rsidP="004E5AD1">
            <w:pPr>
              <w:pStyle w:val="LO-normal"/>
              <w:jc w:val="right"/>
              <w:rPr>
                <w:rFonts w:ascii="Theinhardt Light" w:hAnsi="Theinhardt Light"/>
                <w:b/>
                <w:noProof/>
                <w:sz w:val="24"/>
                <w:szCs w:val="24"/>
              </w:rPr>
            </w:pPr>
            <w:r w:rsidRPr="00527D54">
              <w:rPr>
                <w:rFonts w:ascii="Theinhardt Light" w:hAnsi="Theinhardt Light"/>
                <w:b/>
                <w:noProof/>
                <w:sz w:val="24"/>
                <w:szCs w:val="24"/>
              </w:rPr>
              <w:t>INFORMACJA PRASOWA</w:t>
            </w:r>
          </w:p>
          <w:p w:rsidR="004E5AD1" w:rsidRPr="00527D54" w:rsidRDefault="004E5AD1" w:rsidP="004E5AD1">
            <w:pPr>
              <w:pStyle w:val="LO-normal"/>
              <w:jc w:val="right"/>
              <w:rPr>
                <w:rFonts w:ascii="Theinhardt Medium" w:hAnsi="Theinhardt Medium"/>
                <w:b/>
                <w:noProof/>
                <w:sz w:val="24"/>
                <w:szCs w:val="24"/>
              </w:rPr>
            </w:pPr>
          </w:p>
          <w:p w:rsidR="004E5AD1" w:rsidRPr="00527D54" w:rsidRDefault="00527D54" w:rsidP="004E5AD1">
            <w:pPr>
              <w:pStyle w:val="LO-normal"/>
              <w:jc w:val="right"/>
              <w:rPr>
                <w:rFonts w:ascii="Theinhardt Medium" w:hAnsi="Theinhardt Medium"/>
                <w:b/>
                <w:noProof/>
                <w:sz w:val="32"/>
                <w:szCs w:val="24"/>
              </w:rPr>
            </w:pPr>
            <w:r w:rsidRPr="00527D54">
              <w:rPr>
                <w:rFonts w:ascii="Theinhardt Medium" w:hAnsi="Theinhardt Medium"/>
                <w:b/>
                <w:noProof/>
                <w:sz w:val="32"/>
                <w:szCs w:val="24"/>
              </w:rPr>
              <w:t>Edi Hila. Malarz transformacji</w:t>
            </w:r>
          </w:p>
          <w:p w:rsidR="004E5AD1" w:rsidRPr="00527D54" w:rsidRDefault="004E5AD1" w:rsidP="004E5AD1">
            <w:pPr>
              <w:pStyle w:val="LO-normal"/>
              <w:jc w:val="right"/>
              <w:rPr>
                <w:rFonts w:ascii="Theinhardt Medium" w:hAnsi="Theinhardt Medium"/>
                <w:b/>
                <w:noProof/>
                <w:sz w:val="24"/>
                <w:szCs w:val="24"/>
              </w:rPr>
            </w:pPr>
          </w:p>
          <w:p w:rsidR="004E5AD1" w:rsidRDefault="00527D54" w:rsidP="004E5AD1">
            <w:pPr>
              <w:pStyle w:val="LO-normal"/>
              <w:jc w:val="right"/>
              <w:rPr>
                <w:rFonts w:ascii="Theinhardt Light" w:hAnsi="Theinhardt Light"/>
                <w:b/>
                <w:noProof/>
                <w:sz w:val="24"/>
                <w:szCs w:val="24"/>
              </w:rPr>
            </w:pPr>
            <w:r w:rsidRPr="00527D54">
              <w:rPr>
                <w:rFonts w:ascii="Theinhardt Light" w:hAnsi="Theinhardt Light"/>
                <w:b/>
                <w:noProof/>
                <w:sz w:val="24"/>
                <w:szCs w:val="24"/>
              </w:rPr>
              <w:t>2 marca – 6 maja 2018</w:t>
            </w:r>
          </w:p>
          <w:p w:rsidR="00D36F60" w:rsidRDefault="00D36F60" w:rsidP="00D36F60">
            <w:pPr>
              <w:pStyle w:val="LO-normal"/>
              <w:jc w:val="right"/>
              <w:rPr>
                <w:rFonts w:ascii="Theinhardt Light" w:hAnsi="Theinhardt Light"/>
                <w:b/>
                <w:noProof/>
                <w:sz w:val="24"/>
                <w:szCs w:val="24"/>
              </w:rPr>
            </w:pPr>
            <w:r>
              <w:rPr>
                <w:rFonts w:ascii="Theinhardt Light" w:hAnsi="Theinhardt Light"/>
                <w:b/>
                <w:noProof/>
                <w:sz w:val="24"/>
                <w:szCs w:val="24"/>
              </w:rPr>
              <w:t>Otwarcie wys</w:t>
            </w:r>
            <w:r w:rsidR="00C659FB">
              <w:rPr>
                <w:rFonts w:ascii="Theinhardt Light" w:hAnsi="Theinhardt Light"/>
                <w:b/>
                <w:noProof/>
                <w:sz w:val="24"/>
                <w:szCs w:val="24"/>
              </w:rPr>
              <w:t>tawy: 2 marca (piątek), godz. 19</w:t>
            </w:r>
            <w:r>
              <w:rPr>
                <w:rFonts w:ascii="Theinhardt Light" w:hAnsi="Theinhardt Light"/>
                <w:b/>
                <w:noProof/>
                <w:sz w:val="24"/>
                <w:szCs w:val="24"/>
              </w:rPr>
              <w:t>-22</w:t>
            </w:r>
          </w:p>
          <w:p w:rsidR="00D36F60" w:rsidRPr="00527D54" w:rsidRDefault="00D36F60" w:rsidP="004E5AD1">
            <w:pPr>
              <w:pStyle w:val="LO-normal"/>
              <w:jc w:val="right"/>
              <w:rPr>
                <w:rFonts w:ascii="Theinhardt Light" w:hAnsi="Theinhardt Light"/>
                <w:b/>
                <w:noProof/>
                <w:sz w:val="24"/>
                <w:szCs w:val="24"/>
              </w:rPr>
            </w:pPr>
          </w:p>
          <w:p w:rsidR="004E5AD1" w:rsidRPr="00527D54" w:rsidRDefault="004E5AD1" w:rsidP="00D36F60">
            <w:pPr>
              <w:pStyle w:val="LO-normal"/>
              <w:jc w:val="right"/>
              <w:rPr>
                <w:rFonts w:ascii="Theinhardt Light" w:hAnsi="Theinhardt Light"/>
                <w:noProof/>
                <w:sz w:val="24"/>
                <w:szCs w:val="24"/>
              </w:rPr>
            </w:pPr>
            <w:r w:rsidRPr="00527D54">
              <w:rPr>
                <w:rFonts w:ascii="Theinhardt Light" w:hAnsi="Theinhardt Light"/>
                <w:noProof/>
                <w:sz w:val="24"/>
                <w:szCs w:val="24"/>
              </w:rPr>
              <w:t>Muzeum nad Wisłą</w:t>
            </w:r>
          </w:p>
          <w:p w:rsidR="004E5AD1" w:rsidRPr="00527D54" w:rsidRDefault="004E5AD1" w:rsidP="0098615B">
            <w:pPr>
              <w:pStyle w:val="LO-normal"/>
              <w:jc w:val="right"/>
              <w:rPr>
                <w:rFonts w:ascii="Theinhardt Light" w:hAnsi="Theinhardt Light"/>
                <w:noProof/>
                <w:sz w:val="24"/>
                <w:szCs w:val="24"/>
              </w:rPr>
            </w:pPr>
            <w:r w:rsidRPr="00527D54">
              <w:rPr>
                <w:rFonts w:ascii="Theinhardt Light" w:hAnsi="Theinhardt Light"/>
                <w:noProof/>
                <w:sz w:val="24"/>
                <w:szCs w:val="24"/>
              </w:rPr>
              <w:t>Wybrzeże Kościuszkowskie 22</w:t>
            </w:r>
          </w:p>
          <w:p w:rsidR="00E629FD" w:rsidRPr="00527D54" w:rsidRDefault="00E629FD" w:rsidP="00D61E64">
            <w:pPr>
              <w:pStyle w:val="Domylne"/>
              <w:ind w:right="166"/>
              <w:jc w:val="right"/>
              <w:rPr>
                <w:rFonts w:ascii="Theinhardt Light" w:hAnsi="Theinhardt Light"/>
                <w:b/>
                <w:bCs/>
                <w:noProof/>
                <w:color w:val="auto"/>
                <w:sz w:val="24"/>
                <w:szCs w:val="24"/>
                <w:u w:color="222222"/>
              </w:rPr>
            </w:pPr>
          </w:p>
        </w:tc>
      </w:tr>
    </w:tbl>
    <w:p w:rsidR="00527D54" w:rsidRPr="00527D54" w:rsidRDefault="00527D54" w:rsidP="00527D54">
      <w:pPr>
        <w:jc w:val="both"/>
        <w:rPr>
          <w:rFonts w:ascii="Theinhardt Light" w:eastAsia="Arial" w:hAnsi="Theinhardt Light" w:cs="Arial"/>
          <w:b/>
          <w:noProof/>
          <w:u w:color="222222"/>
          <w:lang w:val="pl-PL" w:eastAsia="pl-PL"/>
        </w:rPr>
      </w:pPr>
    </w:p>
    <w:p w:rsidR="00527D54" w:rsidRPr="00527D54" w:rsidRDefault="00527D54" w:rsidP="00527D54">
      <w:pPr>
        <w:jc w:val="both"/>
        <w:rPr>
          <w:noProof/>
          <w:lang w:val="pl-PL"/>
        </w:rPr>
      </w:pPr>
    </w:p>
    <w:p w:rsidR="00D36F60" w:rsidRPr="00527D54" w:rsidRDefault="00D36F60" w:rsidP="00D36F60">
      <w:pPr>
        <w:jc w:val="both"/>
        <w:rPr>
          <w:rFonts w:ascii="Theinhardt Light" w:hAnsi="Theinhardt Light"/>
          <w:b/>
          <w:noProof/>
          <w:lang w:val="pl-PL"/>
        </w:rPr>
      </w:pPr>
      <w:r w:rsidRPr="00527D54">
        <w:rPr>
          <w:rFonts w:ascii="Theinhardt Light" w:hAnsi="Theinhardt Light"/>
          <w:b/>
          <w:noProof/>
          <w:lang w:val="pl-PL"/>
        </w:rPr>
        <w:t xml:space="preserve">Muzeum Sztuki Nowoczesnej w Warszawie </w:t>
      </w:r>
      <w:r>
        <w:rPr>
          <w:rFonts w:ascii="Theinhardt Light" w:hAnsi="Theinhardt Light"/>
          <w:b/>
          <w:noProof/>
          <w:lang w:val="pl-PL"/>
        </w:rPr>
        <w:t>prezentuje</w:t>
      </w:r>
      <w:r w:rsidRPr="00527D54">
        <w:rPr>
          <w:rFonts w:ascii="Theinhardt Light" w:hAnsi="Theinhardt Light"/>
          <w:b/>
          <w:noProof/>
          <w:lang w:val="pl-PL"/>
        </w:rPr>
        <w:t xml:space="preserve"> pierwszą retrospektywną wystawę albańskiego malarza Ediego Hili, jednego z os</w:t>
      </w:r>
      <w:r>
        <w:rPr>
          <w:rFonts w:ascii="Theinhardt Light" w:hAnsi="Theinhardt Light"/>
          <w:b/>
          <w:noProof/>
          <w:lang w:val="pl-PL"/>
        </w:rPr>
        <w:t xml:space="preserve">tatnich przeoczonych mistrzów </w:t>
      </w:r>
      <w:r w:rsidR="005C39E4">
        <w:rPr>
          <w:rFonts w:ascii="Theinhardt Light" w:hAnsi="Theinhardt Light"/>
          <w:b/>
          <w:noProof/>
          <w:lang w:val="pl-PL"/>
        </w:rPr>
        <w:t xml:space="preserve">z </w:t>
      </w:r>
      <w:r w:rsidRPr="00527D54">
        <w:rPr>
          <w:rFonts w:ascii="Theinhardt Light" w:hAnsi="Theinhardt Light"/>
          <w:b/>
          <w:noProof/>
          <w:lang w:val="pl-PL"/>
        </w:rPr>
        <w:t>Europy Wschodniej.</w:t>
      </w:r>
      <w:r>
        <w:rPr>
          <w:rFonts w:ascii="Theinhardt Light" w:hAnsi="Theinhardt Light"/>
          <w:b/>
          <w:noProof/>
          <w:lang w:val="pl-PL"/>
        </w:rPr>
        <w:tab/>
      </w:r>
    </w:p>
    <w:p w:rsidR="00D36F60" w:rsidRPr="00527D54" w:rsidRDefault="00D36F60" w:rsidP="00D36F60">
      <w:pPr>
        <w:spacing w:before="240"/>
        <w:jc w:val="both"/>
        <w:rPr>
          <w:rFonts w:ascii="Theinhardt Light" w:hAnsi="Theinhardt Light"/>
          <w:noProof/>
          <w:lang w:val="pl-PL"/>
        </w:rPr>
      </w:pPr>
      <w:r w:rsidRPr="00527D54">
        <w:rPr>
          <w:rFonts w:ascii="Theinhardt Light" w:hAnsi="Theinhardt Light"/>
          <w:noProof/>
          <w:lang w:val="pl-PL"/>
        </w:rPr>
        <w:t>Edi Hila urodził się w 1944 roku w Sz</w:t>
      </w:r>
      <w:r>
        <w:rPr>
          <w:rFonts w:ascii="Theinhardt Light" w:hAnsi="Theinhardt Light"/>
          <w:noProof/>
          <w:lang w:val="pl-PL"/>
        </w:rPr>
        <w:t xml:space="preserve">kodrze, pracuje </w:t>
      </w:r>
      <w:r w:rsidR="005C39E4">
        <w:rPr>
          <w:rFonts w:ascii="Theinhardt Light" w:hAnsi="Theinhardt Light"/>
          <w:noProof/>
          <w:lang w:val="pl-PL"/>
        </w:rPr>
        <w:t>w Tiranie, od początku lat 90. z</w:t>
      </w:r>
      <w:r>
        <w:rPr>
          <w:rFonts w:ascii="Theinhardt Light" w:hAnsi="Theinhardt Light"/>
          <w:noProof/>
          <w:lang w:val="pl-PL"/>
        </w:rPr>
        <w:t>wiązany</w:t>
      </w:r>
      <w:r>
        <w:rPr>
          <w:rFonts w:ascii="Theinhardt Light" w:hAnsi="Theinhardt Light"/>
          <w:noProof/>
          <w:lang w:val="pl-PL"/>
        </w:rPr>
        <w:br/>
      </w:r>
      <w:r w:rsidRPr="00527D54">
        <w:rPr>
          <w:rFonts w:ascii="Theinhardt Light" w:hAnsi="Theinhardt Light"/>
          <w:noProof/>
          <w:lang w:val="pl-PL"/>
        </w:rPr>
        <w:t>z tamtejszą Akademią Sztuk Pięknych, gdzie jest wpływowym pedagogiem.</w:t>
      </w:r>
      <w:r>
        <w:rPr>
          <w:rFonts w:ascii="Theinhardt Light" w:hAnsi="Theinhardt Light"/>
          <w:noProof/>
          <w:lang w:val="pl-PL"/>
        </w:rPr>
        <w:t xml:space="preserve"> Wśród jego uczniów są artyści, którzy odnieśli światowy sukces, m.in. Anri Sala i Adrian Paci. Uczniem Ediego Hili jest także obecny premier Albanii, Edi Rama, artysta, który zwrócił na swój kraj uwagę międzynarodowej opinii publicznej, kiedy na początku lat dwutysięcznych, jako burmistrz Tirany, doprowadził do przemalowania ponurej zabudowy mieszkaniowej w abstrakcyjne kompozycje kolorystyczne. </w:t>
      </w:r>
    </w:p>
    <w:p w:rsidR="00D36F60" w:rsidRPr="00527D54" w:rsidRDefault="00D36F60" w:rsidP="00D36F60">
      <w:pPr>
        <w:spacing w:before="240"/>
        <w:jc w:val="both"/>
        <w:rPr>
          <w:rFonts w:ascii="Theinhardt Light" w:hAnsi="Theinhardt Light"/>
          <w:noProof/>
          <w:lang w:val="pl-PL"/>
        </w:rPr>
      </w:pPr>
      <w:r>
        <w:rPr>
          <w:rFonts w:ascii="Theinhardt Light" w:hAnsi="Theinhardt Light"/>
          <w:noProof/>
          <w:lang w:val="pl-PL"/>
        </w:rPr>
        <w:t xml:space="preserve">Hila kształcił się </w:t>
      </w:r>
      <w:r w:rsidRPr="00527D54">
        <w:rPr>
          <w:rFonts w:ascii="Theinhardt Light" w:hAnsi="Theinhardt Light"/>
          <w:noProof/>
          <w:lang w:val="pl-PL"/>
        </w:rPr>
        <w:t xml:space="preserve">w </w:t>
      </w:r>
      <w:r>
        <w:rPr>
          <w:rFonts w:ascii="Theinhardt Light" w:hAnsi="Theinhardt Light"/>
          <w:noProof/>
          <w:lang w:val="pl-PL"/>
        </w:rPr>
        <w:t>rodzinnej Szkodrze, mieście o starożytnej</w:t>
      </w:r>
      <w:r w:rsidRPr="00527D54">
        <w:rPr>
          <w:rFonts w:ascii="Theinhardt Light" w:hAnsi="Theinhardt Light"/>
          <w:noProof/>
          <w:lang w:val="pl-PL"/>
        </w:rPr>
        <w:t xml:space="preserve"> </w:t>
      </w:r>
      <w:r>
        <w:rPr>
          <w:rFonts w:ascii="Theinhardt Light" w:hAnsi="Theinhardt Light"/>
          <w:noProof/>
          <w:lang w:val="pl-PL"/>
        </w:rPr>
        <w:t>historii</w:t>
      </w:r>
      <w:r w:rsidRPr="00527D54">
        <w:rPr>
          <w:rFonts w:ascii="Theinhardt Light" w:hAnsi="Theinhardt Light"/>
          <w:noProof/>
          <w:lang w:val="pl-PL"/>
        </w:rPr>
        <w:t>,</w:t>
      </w:r>
      <w:r>
        <w:rPr>
          <w:rFonts w:ascii="Theinhardt Light" w:hAnsi="Theinhardt Light"/>
          <w:noProof/>
          <w:lang w:val="pl-PL"/>
        </w:rPr>
        <w:t xml:space="preserve"> zwanej kulturalną stolicą Albanii</w:t>
      </w:r>
      <w:r w:rsidRPr="00527D54">
        <w:rPr>
          <w:rFonts w:ascii="Theinhardt Light" w:hAnsi="Theinhardt Light"/>
          <w:noProof/>
          <w:lang w:val="pl-PL"/>
        </w:rPr>
        <w:t>. W czasie studiów w latach 60. nieśmiało eksperymentował z deformacją. W</w:t>
      </w:r>
      <w:r w:rsidR="005C39E4">
        <w:rPr>
          <w:rFonts w:ascii="Theinhardt Light" w:hAnsi="Theinhardt Light"/>
          <w:noProof/>
          <w:lang w:val="pl-PL"/>
        </w:rPr>
        <w:t xml:space="preserve"> 1972 roku namalował „Sadzenie d</w:t>
      </w:r>
      <w:r w:rsidRPr="00527D54">
        <w:rPr>
          <w:rFonts w:ascii="Theinhardt Light" w:hAnsi="Theinhardt Light"/>
          <w:noProof/>
          <w:lang w:val="pl-PL"/>
        </w:rPr>
        <w:t>rzew”</w:t>
      </w:r>
      <w:r>
        <w:rPr>
          <w:rFonts w:ascii="Theinhardt Light" w:hAnsi="Theinhardt Light"/>
          <w:noProof/>
          <w:lang w:val="pl-PL"/>
        </w:rPr>
        <w:t>,</w:t>
      </w:r>
      <w:r w:rsidRPr="00527D54">
        <w:rPr>
          <w:rFonts w:ascii="Theinhardt Light" w:hAnsi="Theinhardt Light"/>
          <w:noProof/>
          <w:lang w:val="pl-PL"/>
        </w:rPr>
        <w:t xml:space="preserve"> pogodny obraz, lekko odrealniony poprzez użycie kolorów, który – odbiegając od obowiązującej w tamtym czasie socrealistycznej doktryny – stał się </w:t>
      </w:r>
      <w:r>
        <w:rPr>
          <w:rFonts w:ascii="Theinhardt Light" w:hAnsi="Theinhardt Light"/>
          <w:noProof/>
          <w:lang w:val="pl-PL"/>
        </w:rPr>
        <w:t>kilka lat później</w:t>
      </w:r>
      <w:r w:rsidR="005C39E4">
        <w:rPr>
          <w:rFonts w:ascii="Theinhardt Light" w:hAnsi="Theinhardt Light"/>
          <w:noProof/>
          <w:lang w:val="pl-PL"/>
        </w:rPr>
        <w:t xml:space="preserve"> pretekstem do ukarania go nakazem pracy w fabryce</w:t>
      </w:r>
      <w:r w:rsidRPr="00527D54">
        <w:rPr>
          <w:rFonts w:ascii="Theinhardt Light" w:hAnsi="Theinhardt Light"/>
          <w:noProof/>
          <w:lang w:val="pl-PL"/>
        </w:rPr>
        <w:t xml:space="preserve">. </w:t>
      </w:r>
      <w:r>
        <w:rPr>
          <w:rFonts w:ascii="Theinhardt Light" w:hAnsi="Theinhardt Light"/>
          <w:noProof/>
          <w:lang w:val="pl-PL"/>
        </w:rPr>
        <w:t>Zanim naraził się komunistycznym władzom i przekreślił swe szanse na oficjalne uprawian</w:t>
      </w:r>
      <w:r w:rsidR="005C39E4">
        <w:rPr>
          <w:rFonts w:ascii="Theinhardt Light" w:hAnsi="Theinhardt Light"/>
          <w:noProof/>
          <w:lang w:val="pl-PL"/>
        </w:rPr>
        <w:t>ie sztuki, zdążył jeszcze w 1973</w:t>
      </w:r>
      <w:r>
        <w:rPr>
          <w:rFonts w:ascii="Theinhardt Light" w:hAnsi="Theinhardt Light"/>
          <w:noProof/>
          <w:lang w:val="pl-PL"/>
        </w:rPr>
        <w:t xml:space="preserve"> roku wyjechać na krótki pobyt do Florencji. Wysłano go tam jako początkującego plastyka powstące</w:t>
      </w:r>
      <w:r w:rsidR="005C39E4">
        <w:rPr>
          <w:rFonts w:ascii="Theinhardt Light" w:hAnsi="Theinhardt Light"/>
          <w:noProof/>
          <w:lang w:val="pl-PL"/>
        </w:rPr>
        <w:t xml:space="preserve">j telewizji albańskiej. Kontakt </w:t>
      </w:r>
      <w:r>
        <w:rPr>
          <w:rFonts w:ascii="Theinhardt Light" w:hAnsi="Theinhardt Light"/>
          <w:noProof/>
          <w:lang w:val="pl-PL"/>
        </w:rPr>
        <w:t>z florenckimi muzeami i malarstwem renesansowym wywarł na Hilę ogromny wpływ. Szybko jednak okazało się, że takie inspiracje i poszukiwania artystyczne w kraju rządzonym przez brutalny reżim są zwyczajnie niebezpieczne. Za odstępstwo od socrealizmu Edi Hila został skierowany</w:t>
      </w:r>
      <w:r w:rsidR="00410887">
        <w:rPr>
          <w:rFonts w:ascii="Theinhardt Light" w:hAnsi="Theinhardt Light"/>
          <w:noProof/>
          <w:lang w:val="pl-PL"/>
        </w:rPr>
        <w:t xml:space="preserve"> na trzy lata do pracy w zakładach drobiarskich</w:t>
      </w:r>
      <w:r>
        <w:rPr>
          <w:rFonts w:ascii="Theinhardt Light" w:hAnsi="Theinhardt Light"/>
          <w:noProof/>
          <w:lang w:val="pl-PL"/>
        </w:rPr>
        <w:t>. Wieczorami tworzył potajemnie serie rysunków dokumentujących życie robotników (cykl</w:t>
      </w:r>
      <w:r w:rsidRPr="00527D54">
        <w:rPr>
          <w:rFonts w:ascii="Theinhardt Light" w:hAnsi="Theinhardt Light"/>
          <w:noProof/>
          <w:lang w:val="pl-PL"/>
        </w:rPr>
        <w:t xml:space="preserve"> </w:t>
      </w:r>
      <w:r>
        <w:rPr>
          <w:rFonts w:ascii="Theinhardt Light" w:hAnsi="Theinhardt Light"/>
          <w:noProof/>
          <w:lang w:val="pl-PL"/>
        </w:rPr>
        <w:t xml:space="preserve">„Drób”, </w:t>
      </w:r>
      <w:r w:rsidRPr="00527D54">
        <w:rPr>
          <w:rFonts w:ascii="Theinhardt Light" w:hAnsi="Theinhardt Light"/>
          <w:noProof/>
          <w:lang w:val="pl-PL"/>
        </w:rPr>
        <w:t>1975-76</w:t>
      </w:r>
      <w:r>
        <w:rPr>
          <w:rFonts w:ascii="Theinhardt Light" w:hAnsi="Theinhardt Light"/>
          <w:noProof/>
          <w:lang w:val="pl-PL"/>
        </w:rPr>
        <w:t>), wstrząsające</w:t>
      </w:r>
      <w:r w:rsidRPr="00527D54">
        <w:rPr>
          <w:rFonts w:ascii="Theinhardt Light" w:hAnsi="Theinhardt Light"/>
          <w:noProof/>
          <w:lang w:val="pl-PL"/>
        </w:rPr>
        <w:t xml:space="preserve"> poprzez surowy realizm. W latach 90.</w:t>
      </w:r>
      <w:r w:rsidR="00410887">
        <w:rPr>
          <w:rFonts w:ascii="Theinhardt Light" w:hAnsi="Theinhardt Light"/>
          <w:noProof/>
          <w:lang w:val="pl-PL"/>
        </w:rPr>
        <w:t>,</w:t>
      </w:r>
      <w:r w:rsidRPr="00527D54">
        <w:rPr>
          <w:rFonts w:ascii="Theinhardt Light" w:hAnsi="Theinhardt Light"/>
          <w:noProof/>
          <w:lang w:val="pl-PL"/>
        </w:rPr>
        <w:t xml:space="preserve"> szukając drogi powrotu do malarstwa, artysta bacznie obserw</w:t>
      </w:r>
      <w:r>
        <w:rPr>
          <w:rFonts w:ascii="Theinhardt Light" w:hAnsi="Theinhardt Light"/>
          <w:noProof/>
          <w:lang w:val="pl-PL"/>
        </w:rPr>
        <w:t>ował</w:t>
      </w:r>
      <w:r w:rsidRPr="00527D54">
        <w:rPr>
          <w:rFonts w:ascii="Theinhardt Light" w:hAnsi="Theinhardt Light"/>
          <w:noProof/>
          <w:lang w:val="pl-PL"/>
        </w:rPr>
        <w:t xml:space="preserve"> życie zmieniające się po upadku reżimu </w:t>
      </w:r>
      <w:r w:rsidR="005C39E4">
        <w:rPr>
          <w:rFonts w:ascii="Theinhardt Light" w:hAnsi="Theinhardt Light"/>
          <w:noProof/>
          <w:lang w:val="pl-PL"/>
        </w:rPr>
        <w:t xml:space="preserve">Envera Hodży </w:t>
      </w:r>
      <w:r w:rsidRPr="00527D54">
        <w:rPr>
          <w:rFonts w:ascii="Theinhardt Light" w:hAnsi="Theinhardt Light"/>
          <w:noProof/>
          <w:lang w:val="pl-PL"/>
        </w:rPr>
        <w:t>i stara</w:t>
      </w:r>
      <w:r>
        <w:rPr>
          <w:rFonts w:ascii="Theinhardt Light" w:hAnsi="Theinhardt Light"/>
          <w:noProof/>
          <w:lang w:val="pl-PL"/>
        </w:rPr>
        <w:t>ł</w:t>
      </w:r>
      <w:r w:rsidRPr="00527D54">
        <w:rPr>
          <w:rFonts w:ascii="Theinhardt Light" w:hAnsi="Theinhardt Light"/>
          <w:noProof/>
          <w:lang w:val="pl-PL"/>
        </w:rPr>
        <w:t xml:space="preserve"> się oddać realia </w:t>
      </w:r>
      <w:r w:rsidR="00410887">
        <w:rPr>
          <w:rFonts w:ascii="Theinhardt Light" w:hAnsi="Theinhardt Light"/>
          <w:noProof/>
          <w:lang w:val="pl-PL"/>
        </w:rPr>
        <w:t xml:space="preserve">albańskiej </w:t>
      </w:r>
      <w:r w:rsidRPr="00527D54">
        <w:rPr>
          <w:rFonts w:ascii="Theinhardt Light" w:hAnsi="Theinhardt Light"/>
          <w:noProof/>
          <w:lang w:val="pl-PL"/>
        </w:rPr>
        <w:t xml:space="preserve">transformacji. Przełomowa seria </w:t>
      </w:r>
      <w:r>
        <w:rPr>
          <w:rFonts w:ascii="Theinhardt Light" w:hAnsi="Theinhardt Light"/>
          <w:noProof/>
          <w:lang w:val="pl-PL"/>
        </w:rPr>
        <w:t>„Komfort”</w:t>
      </w:r>
      <w:r w:rsidRPr="00527D54">
        <w:rPr>
          <w:rFonts w:ascii="Theinhardt Light" w:hAnsi="Theinhardt Light"/>
          <w:noProof/>
          <w:lang w:val="pl-PL"/>
        </w:rPr>
        <w:t xml:space="preserve"> </w:t>
      </w:r>
      <w:r>
        <w:rPr>
          <w:rFonts w:ascii="Theinhardt Light" w:hAnsi="Theinhardt Light"/>
          <w:noProof/>
          <w:lang w:val="pl-PL"/>
        </w:rPr>
        <w:t>(</w:t>
      </w:r>
      <w:r w:rsidRPr="00527D54">
        <w:rPr>
          <w:rFonts w:ascii="Theinhardt Light" w:hAnsi="Theinhardt Light"/>
          <w:noProof/>
          <w:lang w:val="pl-PL"/>
        </w:rPr>
        <w:t>1997</w:t>
      </w:r>
      <w:r>
        <w:rPr>
          <w:rFonts w:ascii="Theinhardt Light" w:hAnsi="Theinhardt Light"/>
          <w:noProof/>
          <w:lang w:val="pl-PL"/>
        </w:rPr>
        <w:t>) jest próbą</w:t>
      </w:r>
      <w:r w:rsidRPr="00527D54">
        <w:rPr>
          <w:rFonts w:ascii="Theinhardt Light" w:hAnsi="Theinhardt Light"/>
          <w:noProof/>
          <w:lang w:val="pl-PL"/>
        </w:rPr>
        <w:t xml:space="preserve"> </w:t>
      </w:r>
      <w:r>
        <w:rPr>
          <w:rFonts w:ascii="Theinhardt Light" w:hAnsi="Theinhardt Light"/>
          <w:noProof/>
          <w:lang w:val="pl-PL"/>
        </w:rPr>
        <w:t>namalowania</w:t>
      </w:r>
      <w:r w:rsidRPr="00527D54">
        <w:rPr>
          <w:rFonts w:ascii="Theinhardt Light" w:hAnsi="Theinhardt Light"/>
          <w:noProof/>
          <w:lang w:val="pl-PL"/>
        </w:rPr>
        <w:t xml:space="preserve"> </w:t>
      </w:r>
      <w:r>
        <w:rPr>
          <w:rFonts w:ascii="Theinhardt Light" w:hAnsi="Theinhardt Light"/>
          <w:noProof/>
          <w:lang w:val="pl-PL"/>
        </w:rPr>
        <w:t>nowej, niemożliwej do spełnienia, a</w:t>
      </w:r>
      <w:r w:rsidRPr="00527D54">
        <w:rPr>
          <w:rFonts w:ascii="Theinhardt Light" w:hAnsi="Theinhardt Light"/>
          <w:noProof/>
          <w:lang w:val="pl-PL"/>
        </w:rPr>
        <w:t xml:space="preserve"> obiecywanej społeczeństwu</w:t>
      </w:r>
      <w:r>
        <w:rPr>
          <w:rFonts w:ascii="Theinhardt Light" w:hAnsi="Theinhardt Light"/>
          <w:noProof/>
          <w:lang w:val="pl-PL"/>
        </w:rPr>
        <w:t xml:space="preserve"> utopii konsumpcyjnej – Hila namalował ją w reakcji na dramatyczny kryzys spowodowany bankructwem piramid finansowych, które doprowadziły do chaosu w pa</w:t>
      </w:r>
      <w:r w:rsidR="005C39E4">
        <w:rPr>
          <w:rFonts w:ascii="Theinhardt Light" w:hAnsi="Theinhardt Light"/>
          <w:noProof/>
          <w:lang w:val="pl-PL"/>
        </w:rPr>
        <w:t xml:space="preserve">ństwie, śmierci ponad 3000 osób </w:t>
      </w:r>
      <w:r>
        <w:rPr>
          <w:rFonts w:ascii="Theinhardt Light" w:hAnsi="Theinhardt Light"/>
          <w:noProof/>
          <w:lang w:val="pl-PL"/>
        </w:rPr>
        <w:t xml:space="preserve">i interwencji wojsk ONZ. </w:t>
      </w:r>
    </w:p>
    <w:p w:rsidR="00D36F60" w:rsidRPr="00527D54" w:rsidRDefault="00D36F60" w:rsidP="00D36F60">
      <w:pPr>
        <w:jc w:val="both"/>
        <w:rPr>
          <w:rFonts w:ascii="Theinhardt Light" w:hAnsi="Theinhardt Light"/>
          <w:noProof/>
          <w:lang w:val="pl-PL"/>
        </w:rPr>
      </w:pPr>
    </w:p>
    <w:p w:rsidR="00D36F60" w:rsidRPr="00527D54" w:rsidRDefault="00D36F60" w:rsidP="00D36F60">
      <w:pPr>
        <w:jc w:val="both"/>
        <w:rPr>
          <w:rFonts w:ascii="Theinhardt Light" w:hAnsi="Theinhardt Light"/>
          <w:noProof/>
          <w:lang w:val="pl-PL"/>
        </w:rPr>
      </w:pPr>
      <w:r>
        <w:rPr>
          <w:rFonts w:ascii="Theinhardt Light" w:hAnsi="Theinhardt Light"/>
          <w:noProof/>
          <w:lang w:val="pl-PL"/>
        </w:rPr>
        <w:t>Malarstwo Hili to przede wszystkim serie, gdzie temat</w:t>
      </w:r>
      <w:r w:rsidRPr="00527D54">
        <w:rPr>
          <w:rFonts w:ascii="Theinhardt Light" w:hAnsi="Theinhardt Light"/>
          <w:noProof/>
          <w:lang w:val="pl-PL"/>
        </w:rPr>
        <w:t xml:space="preserve"> </w:t>
      </w:r>
      <w:r>
        <w:rPr>
          <w:rFonts w:ascii="Theinhardt Light" w:hAnsi="Theinhardt Light"/>
          <w:noProof/>
          <w:lang w:val="pl-PL"/>
        </w:rPr>
        <w:t xml:space="preserve">przedstawiany jest </w:t>
      </w:r>
      <w:r w:rsidRPr="00527D54">
        <w:rPr>
          <w:rFonts w:ascii="Theinhardt Light" w:hAnsi="Theinhardt Light"/>
          <w:noProof/>
          <w:lang w:val="pl-PL"/>
        </w:rPr>
        <w:t xml:space="preserve">w kilku obrazach. Najbardziej znaczące </w:t>
      </w:r>
      <w:r>
        <w:rPr>
          <w:rFonts w:ascii="Theinhardt Light" w:hAnsi="Theinhardt Light"/>
          <w:noProof/>
          <w:lang w:val="pl-PL"/>
        </w:rPr>
        <w:t>cykle</w:t>
      </w:r>
      <w:r w:rsidRPr="00527D54">
        <w:rPr>
          <w:rFonts w:ascii="Theinhardt Light" w:hAnsi="Theinhardt Light"/>
          <w:noProof/>
          <w:lang w:val="pl-PL"/>
        </w:rPr>
        <w:t xml:space="preserve"> to </w:t>
      </w:r>
      <w:r>
        <w:rPr>
          <w:rFonts w:ascii="Theinhardt Light" w:hAnsi="Theinhardt Light"/>
          <w:noProof/>
          <w:lang w:val="pl-PL"/>
        </w:rPr>
        <w:t>„Paradoks</w:t>
      </w:r>
      <w:r w:rsidR="00410887">
        <w:rPr>
          <w:rFonts w:ascii="Theinhardt Light" w:hAnsi="Theinhardt Light"/>
          <w:noProof/>
          <w:lang w:val="pl-PL"/>
        </w:rPr>
        <w:t>y</w:t>
      </w:r>
      <w:r>
        <w:rPr>
          <w:rFonts w:ascii="Theinhardt Light" w:hAnsi="Theinhardt Light"/>
          <w:noProof/>
          <w:lang w:val="pl-PL"/>
        </w:rPr>
        <w:t>” (</w:t>
      </w:r>
      <w:r w:rsidRPr="00527D54">
        <w:rPr>
          <w:rFonts w:ascii="Theinhardt Light" w:hAnsi="Theinhardt Light"/>
          <w:noProof/>
          <w:lang w:val="pl-PL"/>
        </w:rPr>
        <w:t>2000-2005</w:t>
      </w:r>
      <w:r>
        <w:rPr>
          <w:rFonts w:ascii="Theinhardt Light" w:hAnsi="Theinhardt Light"/>
          <w:noProof/>
          <w:lang w:val="pl-PL"/>
        </w:rPr>
        <w:t>), „Relacje”</w:t>
      </w:r>
      <w:r w:rsidRPr="00527D54">
        <w:rPr>
          <w:rFonts w:ascii="Theinhardt Light" w:hAnsi="Theinhardt Light"/>
          <w:noProof/>
          <w:lang w:val="pl-PL"/>
        </w:rPr>
        <w:t xml:space="preserve"> </w:t>
      </w:r>
      <w:r>
        <w:rPr>
          <w:rFonts w:ascii="Theinhardt Light" w:hAnsi="Theinhardt Light"/>
          <w:noProof/>
          <w:lang w:val="pl-PL"/>
        </w:rPr>
        <w:t>(2002-2014),</w:t>
      </w:r>
      <w:r w:rsidRPr="00527D54">
        <w:rPr>
          <w:rFonts w:ascii="Theinhardt Light" w:hAnsi="Theinhardt Light"/>
          <w:noProof/>
          <w:lang w:val="pl-PL"/>
        </w:rPr>
        <w:t xml:space="preserve"> „</w:t>
      </w:r>
      <w:r w:rsidR="00410887">
        <w:rPr>
          <w:rFonts w:ascii="Theinhardt Light" w:hAnsi="Theinhardt Light"/>
          <w:noProof/>
          <w:lang w:val="pl-PL"/>
        </w:rPr>
        <w:t>Zagrożenie</w:t>
      </w:r>
      <w:r>
        <w:rPr>
          <w:rFonts w:ascii="Theinhardt Light" w:hAnsi="Theinhardt Light"/>
          <w:noProof/>
          <w:lang w:val="pl-PL"/>
        </w:rPr>
        <w:t>”</w:t>
      </w:r>
      <w:r w:rsidRPr="00527D54">
        <w:rPr>
          <w:rFonts w:ascii="Theinhardt Light" w:hAnsi="Theinhardt Light"/>
          <w:noProof/>
          <w:lang w:val="pl-PL"/>
        </w:rPr>
        <w:t xml:space="preserve"> </w:t>
      </w:r>
      <w:r>
        <w:rPr>
          <w:rFonts w:ascii="Theinhardt Light" w:hAnsi="Theinhardt Light"/>
          <w:noProof/>
          <w:lang w:val="pl-PL"/>
        </w:rPr>
        <w:lastRenderedPageBreak/>
        <w:t>(</w:t>
      </w:r>
      <w:r w:rsidRPr="00527D54">
        <w:rPr>
          <w:rFonts w:ascii="Theinhardt Light" w:hAnsi="Theinhardt Light"/>
          <w:noProof/>
          <w:lang w:val="pl-PL"/>
        </w:rPr>
        <w:t>2003-2009</w:t>
      </w:r>
      <w:r>
        <w:rPr>
          <w:rFonts w:ascii="Theinhardt Light" w:hAnsi="Theinhardt Light"/>
          <w:noProof/>
          <w:lang w:val="pl-PL"/>
        </w:rPr>
        <w:t>), „Przydrożne obiekty”</w:t>
      </w:r>
      <w:r w:rsidRPr="00527D54">
        <w:rPr>
          <w:rFonts w:ascii="Theinhardt Light" w:hAnsi="Theinhardt Light"/>
          <w:noProof/>
          <w:lang w:val="pl-PL"/>
        </w:rPr>
        <w:t xml:space="preserve"> </w:t>
      </w:r>
      <w:r>
        <w:rPr>
          <w:rFonts w:ascii="Theinhardt Light" w:hAnsi="Theinhardt Light"/>
          <w:noProof/>
          <w:lang w:val="pl-PL"/>
        </w:rPr>
        <w:t>(</w:t>
      </w:r>
      <w:r w:rsidRPr="00527D54">
        <w:rPr>
          <w:rFonts w:ascii="Theinhardt Light" w:hAnsi="Theinhardt Light"/>
          <w:noProof/>
          <w:lang w:val="pl-PL"/>
        </w:rPr>
        <w:t>2007-2010</w:t>
      </w:r>
      <w:r w:rsidR="00410887">
        <w:rPr>
          <w:rFonts w:ascii="Theinhardt Light" w:hAnsi="Theinhardt Light"/>
          <w:noProof/>
          <w:lang w:val="pl-PL"/>
        </w:rPr>
        <w:t>), „Nad</w:t>
      </w:r>
      <w:r>
        <w:rPr>
          <w:rFonts w:ascii="Theinhardt Light" w:hAnsi="Theinhardt Light"/>
          <w:noProof/>
          <w:lang w:val="pl-PL"/>
        </w:rPr>
        <w:t>budówki”</w:t>
      </w:r>
      <w:r w:rsidRPr="00527D54">
        <w:rPr>
          <w:rFonts w:ascii="Theinhardt Light" w:hAnsi="Theinhardt Light"/>
          <w:noProof/>
          <w:lang w:val="pl-PL"/>
        </w:rPr>
        <w:t xml:space="preserve"> </w:t>
      </w:r>
      <w:r>
        <w:rPr>
          <w:rFonts w:ascii="Theinhardt Light" w:hAnsi="Theinhardt Light"/>
          <w:noProof/>
          <w:lang w:val="pl-PL"/>
        </w:rPr>
        <w:t>(</w:t>
      </w:r>
      <w:r w:rsidRPr="00527D54">
        <w:rPr>
          <w:rFonts w:ascii="Theinhardt Light" w:hAnsi="Theinhardt Light"/>
          <w:noProof/>
          <w:lang w:val="pl-PL"/>
        </w:rPr>
        <w:t>2013</w:t>
      </w:r>
      <w:r>
        <w:rPr>
          <w:rFonts w:ascii="Theinhardt Light" w:hAnsi="Theinhardt Light"/>
          <w:noProof/>
          <w:lang w:val="pl-PL"/>
        </w:rPr>
        <w:t>)</w:t>
      </w:r>
      <w:r w:rsidRPr="00527D54">
        <w:rPr>
          <w:rFonts w:ascii="Theinhardt Light" w:hAnsi="Theinhardt Light"/>
          <w:noProof/>
          <w:lang w:val="pl-PL"/>
        </w:rPr>
        <w:t xml:space="preserve">, </w:t>
      </w:r>
      <w:r w:rsidR="00410887">
        <w:rPr>
          <w:rFonts w:ascii="Theinhardt Light" w:hAnsi="Theinhardt Light"/>
          <w:noProof/>
          <w:lang w:val="pl-PL"/>
        </w:rPr>
        <w:t>„Bulwar Bohaterów Narodu</w:t>
      </w:r>
      <w:r>
        <w:rPr>
          <w:rFonts w:ascii="Theinhardt Light" w:hAnsi="Theinhardt Light"/>
          <w:noProof/>
          <w:lang w:val="pl-PL"/>
        </w:rPr>
        <w:t>”</w:t>
      </w:r>
      <w:r w:rsidRPr="00527D54">
        <w:rPr>
          <w:rFonts w:ascii="Theinhardt Light" w:hAnsi="Theinhardt Light"/>
          <w:noProof/>
          <w:lang w:val="pl-PL"/>
        </w:rPr>
        <w:t xml:space="preserve"> </w:t>
      </w:r>
      <w:r>
        <w:rPr>
          <w:rFonts w:ascii="Theinhardt Light" w:hAnsi="Theinhardt Light"/>
          <w:noProof/>
          <w:lang w:val="pl-PL"/>
        </w:rPr>
        <w:t>(</w:t>
      </w:r>
      <w:r w:rsidRPr="00527D54">
        <w:rPr>
          <w:rFonts w:ascii="Theinhardt Light" w:hAnsi="Theinhardt Light"/>
          <w:noProof/>
          <w:lang w:val="pl-PL"/>
        </w:rPr>
        <w:t>2015</w:t>
      </w:r>
      <w:r>
        <w:rPr>
          <w:rFonts w:ascii="Theinhardt Light" w:hAnsi="Theinhardt Light"/>
          <w:noProof/>
          <w:lang w:val="pl-PL"/>
        </w:rPr>
        <w:t>)</w:t>
      </w:r>
      <w:r w:rsidRPr="00527D54">
        <w:rPr>
          <w:rFonts w:ascii="Theinhardt Light" w:hAnsi="Theinhardt Light"/>
          <w:noProof/>
          <w:lang w:val="pl-PL"/>
        </w:rPr>
        <w:t xml:space="preserve"> oraz </w:t>
      </w:r>
      <w:r>
        <w:rPr>
          <w:rFonts w:ascii="Theinhardt Light" w:hAnsi="Theinhardt Light"/>
          <w:noProof/>
          <w:lang w:val="pl-PL"/>
        </w:rPr>
        <w:t>„Namiot na dachu samochodu” z</w:t>
      </w:r>
      <w:r w:rsidRPr="00527D54">
        <w:rPr>
          <w:rFonts w:ascii="Theinhardt Light" w:hAnsi="Theinhardt Light"/>
          <w:noProof/>
          <w:lang w:val="pl-PL"/>
        </w:rPr>
        <w:t xml:space="preserve"> 2017</w:t>
      </w:r>
      <w:r>
        <w:rPr>
          <w:rFonts w:ascii="Theinhardt Light" w:hAnsi="Theinhardt Light"/>
          <w:noProof/>
          <w:lang w:val="pl-PL"/>
        </w:rPr>
        <w:t xml:space="preserve"> roku</w:t>
      </w:r>
      <w:r w:rsidRPr="00527D54">
        <w:rPr>
          <w:rFonts w:ascii="Theinhardt Light" w:hAnsi="Theinhardt Light"/>
          <w:noProof/>
          <w:lang w:val="pl-PL"/>
        </w:rPr>
        <w:t xml:space="preserve">.  Realizm jego malarstwa jest szczególny, opiera się na uważnej obserwacji detalu, którą wykorzystuje do oddania psychologicznej prawdy obserwowanego zjawiska. </w:t>
      </w:r>
    </w:p>
    <w:p w:rsidR="00D36F60" w:rsidRPr="00527D54" w:rsidRDefault="00D36F60" w:rsidP="00D36F60">
      <w:pPr>
        <w:jc w:val="both"/>
        <w:rPr>
          <w:rFonts w:ascii="Theinhardt Light" w:hAnsi="Theinhardt Light"/>
          <w:noProof/>
          <w:lang w:val="pl-PL"/>
        </w:rPr>
      </w:pPr>
    </w:p>
    <w:p w:rsidR="00D36F60" w:rsidRPr="00527D54" w:rsidRDefault="00D36F60" w:rsidP="00D36F60">
      <w:pPr>
        <w:jc w:val="both"/>
        <w:rPr>
          <w:rFonts w:ascii="Theinhardt Light" w:hAnsi="Theinhardt Light"/>
          <w:noProof/>
          <w:lang w:val="pl-PL"/>
        </w:rPr>
      </w:pPr>
      <w:r w:rsidRPr="00A83428">
        <w:rPr>
          <w:rFonts w:ascii="Theinhardt Light" w:hAnsi="Theinhardt Light"/>
          <w:noProof/>
          <w:lang w:val="pl-PL"/>
        </w:rPr>
        <w:t>Edi Hila bardzo uważnie wybiera tematy, którym poświęca swoje serie malarskie.  To sprawia, że transformacja w Europie Wschodniej w wersji tego artysty jest pozbawiona tak charakterystycznej dla wielu przedstawień przypadkowości i przygodności, nabiera wagi wydestylowanych ogólnych prawd, jakby Hila był jej ostatecznym kronikarzem. Jednym z powodów tak radykalnej redukcji może być ciążenie Hili w kierunku klasycyzmu, fascynacja re</w:t>
      </w:r>
      <w:r>
        <w:rPr>
          <w:rFonts w:ascii="Theinhardt Light" w:hAnsi="Theinhardt Light"/>
          <w:noProof/>
          <w:lang w:val="pl-PL"/>
        </w:rPr>
        <w:t>nesansowymi źródłami malarstwa.</w:t>
      </w:r>
      <w:r>
        <w:rPr>
          <w:rFonts w:ascii="Theinhardt Light" w:hAnsi="Theinhardt Light"/>
          <w:noProof/>
          <w:lang w:val="pl-PL"/>
        </w:rPr>
        <w:br/>
      </w:r>
      <w:r w:rsidRPr="00A83428">
        <w:rPr>
          <w:rFonts w:ascii="Theinhardt Light" w:hAnsi="Theinhardt Light"/>
          <w:noProof/>
          <w:lang w:val="pl-PL"/>
        </w:rPr>
        <w:t>Z kręgu jego zainteresowań</w:t>
      </w:r>
      <w:r>
        <w:rPr>
          <w:rFonts w:ascii="Theinhardt Light" w:hAnsi="Theinhardt Light"/>
          <w:noProof/>
          <w:lang w:val="pl-PL"/>
        </w:rPr>
        <w:t xml:space="preserve"> niejako</w:t>
      </w:r>
      <w:r w:rsidRPr="00527D54">
        <w:rPr>
          <w:rFonts w:ascii="Theinhardt Light" w:hAnsi="Theinhardt Light"/>
          <w:noProof/>
          <w:lang w:val="pl-PL"/>
        </w:rPr>
        <w:t xml:space="preserve"> wyparował modernizm. To</w:t>
      </w:r>
      <w:r>
        <w:rPr>
          <w:rFonts w:ascii="Theinhardt Light" w:hAnsi="Theinhardt Light"/>
          <w:noProof/>
          <w:lang w:val="pl-PL"/>
        </w:rPr>
        <w:t xml:space="preserve"> dlatego transformacja zderzona</w:t>
      </w:r>
      <w:r>
        <w:rPr>
          <w:rFonts w:ascii="Theinhardt Light" w:hAnsi="Theinhardt Light"/>
          <w:noProof/>
          <w:lang w:val="pl-PL"/>
        </w:rPr>
        <w:br/>
      </w:r>
      <w:r w:rsidRPr="00527D54">
        <w:rPr>
          <w:rFonts w:ascii="Theinhardt Light" w:hAnsi="Theinhardt Light"/>
          <w:noProof/>
          <w:lang w:val="pl-PL"/>
        </w:rPr>
        <w:t>z klasyczną tradycją malarstwa, równowagą rozumianą w odległym duchu renesansu, wypada wyraźnie jako zaburzenie i zamach na harmonię i porządek. Ale z drugiej strony jest zakorzeniona w niedających się łatwo zakryć, choćby przez powierzchowną modernizację, ludzkich dylematach.</w:t>
      </w:r>
    </w:p>
    <w:p w:rsidR="00D36F60" w:rsidRPr="00527D54" w:rsidRDefault="00D36F60" w:rsidP="00D36F60">
      <w:pPr>
        <w:jc w:val="both"/>
        <w:rPr>
          <w:rFonts w:ascii="Theinhardt Light" w:hAnsi="Theinhardt Light"/>
          <w:noProof/>
          <w:lang w:val="pl-PL"/>
        </w:rPr>
      </w:pPr>
    </w:p>
    <w:p w:rsidR="00D36F60" w:rsidRPr="00527D54" w:rsidRDefault="00D36F60" w:rsidP="00D36F60">
      <w:pPr>
        <w:jc w:val="both"/>
        <w:rPr>
          <w:rFonts w:ascii="Theinhardt Light" w:eastAsia="Times New Roman" w:hAnsi="Theinhardt Light"/>
          <w:noProof/>
          <w:lang w:val="pl-PL" w:eastAsia="pl-PL"/>
        </w:rPr>
      </w:pPr>
      <w:r w:rsidRPr="00527D54">
        <w:rPr>
          <w:rFonts w:ascii="Theinhardt Light" w:hAnsi="Theinhardt Light"/>
          <w:noProof/>
          <w:lang w:val="pl-PL"/>
        </w:rPr>
        <w:t xml:space="preserve">Wystawa Ediego Hili w Muzeum Sztuki Nowoczesnej w Warszawie wpisuje się w ciąg wystaw poświęconych przeoczonym </w:t>
      </w:r>
      <w:r>
        <w:rPr>
          <w:rFonts w:ascii="Theinhardt Light" w:hAnsi="Theinhardt Light"/>
          <w:noProof/>
          <w:lang w:val="pl-PL"/>
        </w:rPr>
        <w:t>mistrzom</w:t>
      </w:r>
      <w:r w:rsidRPr="00527D54">
        <w:rPr>
          <w:rFonts w:ascii="Theinhardt Light" w:hAnsi="Theinhardt Light"/>
          <w:noProof/>
          <w:lang w:val="pl-PL"/>
        </w:rPr>
        <w:t xml:space="preserve"> </w:t>
      </w:r>
      <w:r w:rsidR="00410887">
        <w:rPr>
          <w:rFonts w:ascii="Theinhardt Light" w:hAnsi="Theinhardt Light"/>
          <w:noProof/>
          <w:lang w:val="pl-PL"/>
        </w:rPr>
        <w:t xml:space="preserve">z </w:t>
      </w:r>
      <w:bookmarkStart w:id="0" w:name="_GoBack"/>
      <w:bookmarkEnd w:id="0"/>
      <w:r w:rsidRPr="00527D54">
        <w:rPr>
          <w:rFonts w:ascii="Theinhardt Light" w:hAnsi="Theinhardt Light"/>
          <w:noProof/>
          <w:lang w:val="pl-PL"/>
        </w:rPr>
        <w:t xml:space="preserve">Europy Wschodniej. W ciągu ostatnich kilku lat </w:t>
      </w:r>
      <w:r>
        <w:rPr>
          <w:rFonts w:ascii="Theinhardt Light" w:hAnsi="Theinhardt Light"/>
          <w:noProof/>
          <w:lang w:val="pl-PL"/>
        </w:rPr>
        <w:t>Muzeum zaprezentowało</w:t>
      </w:r>
      <w:r w:rsidRPr="00527D54">
        <w:rPr>
          <w:rFonts w:ascii="Theinhardt Light" w:hAnsi="Theinhardt Light"/>
          <w:noProof/>
          <w:lang w:val="pl-PL"/>
        </w:rPr>
        <w:t xml:space="preserve"> wystawy monograficzne Iona Grigorescu</w:t>
      </w:r>
      <w:r w:rsidRPr="00A83428">
        <w:rPr>
          <w:rFonts w:ascii="Theinhardt Light" w:hAnsi="Theinhardt Light"/>
          <w:noProof/>
          <w:color w:val="000000" w:themeColor="text1"/>
          <w:lang w:val="pl-PL"/>
        </w:rPr>
        <w:t>, J</w:t>
      </w:r>
      <w:r w:rsidRPr="00A83428">
        <w:rPr>
          <w:rFonts w:ascii="Theinhardt Light" w:eastAsia="Times New Roman" w:hAnsi="Theinhardt Light" w:cs="Arial"/>
          <w:noProof/>
          <w:color w:val="000000" w:themeColor="text1"/>
          <w:shd w:val="clear" w:color="auto" w:fill="FFFFFF"/>
          <w:lang w:val="pl-PL"/>
        </w:rPr>
        <w:t>ú</w:t>
      </w:r>
      <w:r w:rsidRPr="00A83428">
        <w:rPr>
          <w:rFonts w:ascii="Theinhardt Light" w:hAnsi="Theinhardt Light"/>
          <w:noProof/>
          <w:color w:val="000000" w:themeColor="text1"/>
          <w:lang w:val="pl-PL"/>
        </w:rPr>
        <w:t>lius</w:t>
      </w:r>
      <w:r w:rsidRPr="00527D54">
        <w:rPr>
          <w:rFonts w:ascii="Theinhardt Light" w:hAnsi="Theinhardt Light"/>
          <w:noProof/>
          <w:lang w:val="pl-PL"/>
        </w:rPr>
        <w:t>a</w:t>
      </w:r>
      <w:r>
        <w:rPr>
          <w:rFonts w:ascii="Theinhardt Light" w:hAnsi="Theinhardt Light"/>
          <w:noProof/>
          <w:lang w:val="pl-PL"/>
        </w:rPr>
        <w:t xml:space="preserve"> Kollera, Marii Bartuszovej, z</w:t>
      </w:r>
      <w:r w:rsidRPr="00527D54">
        <w:rPr>
          <w:rFonts w:ascii="Theinhardt Light" w:hAnsi="Theinhardt Light"/>
          <w:noProof/>
          <w:lang w:val="pl-PL"/>
        </w:rPr>
        <w:t>r</w:t>
      </w:r>
      <w:r>
        <w:rPr>
          <w:rFonts w:ascii="Theinhardt Light" w:hAnsi="Theinhardt Light"/>
          <w:noProof/>
          <w:lang w:val="pl-PL"/>
        </w:rPr>
        <w:t>ealizowało projekty</w:t>
      </w:r>
      <w:r w:rsidRPr="00527D54">
        <w:rPr>
          <w:rFonts w:ascii="Theinhardt Light" w:hAnsi="Theinhardt Light"/>
          <w:noProof/>
          <w:lang w:val="pl-PL"/>
        </w:rPr>
        <w:t xml:space="preserve"> </w:t>
      </w:r>
      <w:r>
        <w:rPr>
          <w:rFonts w:ascii="Theinhardt Light" w:hAnsi="Theinhardt Light"/>
          <w:noProof/>
          <w:lang w:val="pl-PL"/>
        </w:rPr>
        <w:t>z Saniją Iveković i</w:t>
      </w:r>
      <w:r w:rsidRPr="00527D54">
        <w:rPr>
          <w:rFonts w:ascii="Theinhardt Light" w:hAnsi="Theinhardt Light"/>
          <w:noProof/>
          <w:lang w:val="pl-PL"/>
        </w:rPr>
        <w:t xml:space="preserve"> Tomislavem Gotovacem. Ale </w:t>
      </w:r>
      <w:r>
        <w:rPr>
          <w:rFonts w:ascii="Theinhardt Light" w:hAnsi="Theinhardt Light"/>
          <w:noProof/>
          <w:lang w:val="pl-PL"/>
        </w:rPr>
        <w:t>wystawa Hili</w:t>
      </w:r>
      <w:r w:rsidRPr="00527D54">
        <w:rPr>
          <w:rFonts w:ascii="Theinhardt Light" w:hAnsi="Theinhardt Light"/>
          <w:noProof/>
          <w:lang w:val="pl-PL"/>
        </w:rPr>
        <w:t xml:space="preserve"> wykracza poza badawczą ciekawość czy historyczną p</w:t>
      </w:r>
      <w:r>
        <w:rPr>
          <w:rFonts w:ascii="Theinhardt Light" w:hAnsi="Theinhardt Light"/>
          <w:noProof/>
          <w:lang w:val="pl-PL"/>
        </w:rPr>
        <w:t>owinność. Powodem, dla którego Muzeum zajęło</w:t>
      </w:r>
      <w:r w:rsidRPr="00527D54">
        <w:rPr>
          <w:rFonts w:ascii="Theinhardt Light" w:hAnsi="Theinhardt Light"/>
          <w:noProof/>
          <w:lang w:val="pl-PL"/>
        </w:rPr>
        <w:t xml:space="preserve"> się w tej chwili dorobkiem </w:t>
      </w:r>
      <w:r>
        <w:rPr>
          <w:rFonts w:ascii="Theinhardt Light" w:hAnsi="Theinhardt Light"/>
          <w:noProof/>
          <w:lang w:val="pl-PL"/>
        </w:rPr>
        <w:t>albańskiego malarza jest jego dojmująca aktualność.</w:t>
      </w:r>
      <w:r w:rsidRPr="00527D54">
        <w:rPr>
          <w:rFonts w:ascii="Theinhardt Light" w:hAnsi="Theinhardt Light"/>
          <w:noProof/>
          <w:lang w:val="pl-PL"/>
        </w:rPr>
        <w:t xml:space="preserve"> </w:t>
      </w:r>
      <w:r>
        <w:rPr>
          <w:rFonts w:ascii="Theinhardt Light" w:hAnsi="Theinhardt Light"/>
          <w:noProof/>
          <w:lang w:val="pl-PL"/>
        </w:rPr>
        <w:t xml:space="preserve">Edi Hila jest artystą, który od początku </w:t>
      </w:r>
      <w:r w:rsidRPr="00527D54">
        <w:rPr>
          <w:rFonts w:ascii="Theinhardt Light" w:hAnsi="Theinhardt Light"/>
          <w:noProof/>
          <w:lang w:val="pl-PL"/>
        </w:rPr>
        <w:t>nie dał się zwieść blichtrowi transformacji, zawsze śledząc podskórne zagrożenia, które ze sobą niosła.</w:t>
      </w:r>
    </w:p>
    <w:p w:rsidR="00D36F60" w:rsidRDefault="00D36F60" w:rsidP="00D36F60">
      <w:pPr>
        <w:jc w:val="both"/>
        <w:rPr>
          <w:noProof/>
          <w:lang w:val="pl-PL"/>
        </w:rPr>
      </w:pPr>
    </w:p>
    <w:p w:rsidR="005A4CB9" w:rsidRPr="005A4CB9" w:rsidRDefault="005A4CB9" w:rsidP="00D36F60">
      <w:pPr>
        <w:jc w:val="both"/>
        <w:rPr>
          <w:rFonts w:ascii="Theinhardt Light" w:hAnsi="Theinhardt Light"/>
          <w:noProof/>
          <w:lang w:val="pl-PL"/>
        </w:rPr>
      </w:pPr>
      <w:r w:rsidRPr="005A4CB9">
        <w:rPr>
          <w:rFonts w:ascii="Theinhardt Light" w:hAnsi="Theinhardt Light"/>
          <w:b/>
          <w:noProof/>
          <w:lang w:val="pl-PL"/>
        </w:rPr>
        <w:t>Kuratorzy:</w:t>
      </w:r>
      <w:r w:rsidRPr="005A4CB9">
        <w:rPr>
          <w:rFonts w:ascii="Theinhardt Light" w:hAnsi="Theinhardt Light"/>
          <w:noProof/>
          <w:lang w:val="pl-PL"/>
        </w:rPr>
        <w:t xml:space="preserve"> Kathrin Rhomberg, Erzen Shkololli, Joanna Mytkowska</w:t>
      </w:r>
    </w:p>
    <w:p w:rsidR="004E5AD1" w:rsidRPr="00527D54" w:rsidRDefault="004E5AD1" w:rsidP="004E5AD1">
      <w:pPr>
        <w:pStyle w:val="LO-normal"/>
        <w:rPr>
          <w:rFonts w:ascii="Theinhardt Light" w:hAnsi="Theinhardt Light"/>
          <w:noProof/>
          <w:sz w:val="24"/>
          <w:szCs w:val="24"/>
        </w:rPr>
      </w:pPr>
    </w:p>
    <w:p w:rsidR="004E5AD1" w:rsidRDefault="004E5AD1" w:rsidP="004E5AD1">
      <w:pPr>
        <w:pStyle w:val="LO-normal"/>
        <w:rPr>
          <w:rFonts w:ascii="Theinhardt Light" w:hAnsi="Theinhardt Light"/>
          <w:noProof/>
          <w:sz w:val="24"/>
          <w:szCs w:val="24"/>
        </w:rPr>
      </w:pPr>
      <w:r w:rsidRPr="00527D54">
        <w:rPr>
          <w:rFonts w:ascii="Theinhardt Light" w:hAnsi="Theinhardt Light"/>
          <w:b/>
          <w:noProof/>
          <w:sz w:val="24"/>
          <w:szCs w:val="24"/>
        </w:rPr>
        <w:t xml:space="preserve">Strona internetowa: </w:t>
      </w:r>
      <w:r w:rsidRPr="00527D54">
        <w:rPr>
          <w:rFonts w:ascii="Theinhardt Light" w:hAnsi="Theinhardt Light"/>
          <w:noProof/>
          <w:sz w:val="24"/>
          <w:szCs w:val="24"/>
        </w:rPr>
        <w:t>artmuseum.pl</w:t>
      </w:r>
    </w:p>
    <w:p w:rsidR="006C659B" w:rsidRPr="00527D54" w:rsidRDefault="00C05CF0" w:rsidP="004E5AD1">
      <w:pPr>
        <w:pStyle w:val="LO-normal"/>
        <w:rPr>
          <w:rFonts w:ascii="Theinhardt Light" w:hAnsi="Theinhardt Light"/>
          <w:noProof/>
          <w:sz w:val="24"/>
          <w:szCs w:val="24"/>
        </w:rPr>
      </w:pPr>
      <w:r>
        <w:rPr>
          <w:rFonts w:ascii="Theinhardt Light" w:hAnsi="Theinhardt Light"/>
          <w:b/>
          <w:noProof/>
          <w:sz w:val="24"/>
          <w:szCs w:val="24"/>
        </w:rPr>
        <w:t>Interaktywny przewodnik towarzyszący wystawie</w:t>
      </w:r>
      <w:r w:rsidR="006C659B" w:rsidRPr="006C659B">
        <w:rPr>
          <w:rFonts w:ascii="Theinhardt Light" w:hAnsi="Theinhardt Light"/>
          <w:b/>
          <w:noProof/>
          <w:sz w:val="24"/>
          <w:szCs w:val="24"/>
        </w:rPr>
        <w:t>:</w:t>
      </w:r>
      <w:r w:rsidR="006C659B">
        <w:rPr>
          <w:rFonts w:ascii="Theinhardt Light" w:hAnsi="Theinhardt Light"/>
          <w:noProof/>
          <w:sz w:val="24"/>
          <w:szCs w:val="24"/>
        </w:rPr>
        <w:t xml:space="preserve"> edihila.artmuseum.pl </w:t>
      </w:r>
    </w:p>
    <w:p w:rsidR="001D47CF" w:rsidRPr="00527D54" w:rsidRDefault="001D47CF" w:rsidP="001D47CF">
      <w:pPr>
        <w:pStyle w:val="LO-normal"/>
        <w:jc w:val="both"/>
        <w:rPr>
          <w:rFonts w:ascii="Theinhardt Light" w:hAnsi="Theinhardt Light"/>
          <w:b/>
          <w:noProof/>
          <w:sz w:val="24"/>
          <w:szCs w:val="24"/>
        </w:rPr>
      </w:pPr>
    </w:p>
    <w:p w:rsidR="004E5AD1" w:rsidRPr="00527D54" w:rsidRDefault="004E5AD1" w:rsidP="001D47CF">
      <w:pPr>
        <w:pStyle w:val="LO-normal"/>
        <w:jc w:val="both"/>
        <w:rPr>
          <w:rFonts w:ascii="Theinhardt Light" w:hAnsi="Theinhardt Light"/>
          <w:noProof/>
          <w:sz w:val="24"/>
          <w:szCs w:val="24"/>
        </w:rPr>
      </w:pPr>
      <w:r w:rsidRPr="00527D54">
        <w:rPr>
          <w:rFonts w:ascii="Theinhardt Light" w:hAnsi="Theinhardt Light"/>
          <w:b/>
          <w:noProof/>
          <w:sz w:val="24"/>
          <w:szCs w:val="24"/>
        </w:rPr>
        <w:t>Godziny otwarcia Muzeum nad Wisłą:</w:t>
      </w:r>
      <w:r w:rsidR="00527D54" w:rsidRPr="00527D54">
        <w:rPr>
          <w:rFonts w:ascii="Theinhardt Light" w:hAnsi="Theinhardt Light"/>
          <w:noProof/>
          <w:sz w:val="24"/>
          <w:szCs w:val="24"/>
        </w:rPr>
        <w:t xml:space="preserve"> wtorek-piątek 12.00-20.00</w:t>
      </w:r>
      <w:r w:rsidRPr="00527D54">
        <w:rPr>
          <w:rFonts w:ascii="Theinhardt Light" w:hAnsi="Theinhardt Light"/>
          <w:noProof/>
          <w:sz w:val="24"/>
          <w:szCs w:val="24"/>
        </w:rPr>
        <w:t xml:space="preserve">, sobota 11.00 – 20.00, niedziela 11.00-18.00, poniedziałki – nieczynne. </w:t>
      </w:r>
    </w:p>
    <w:p w:rsidR="00AF6446" w:rsidRPr="00527D54" w:rsidRDefault="00AF6446" w:rsidP="001D47CF">
      <w:pPr>
        <w:pStyle w:val="LO-normal"/>
        <w:rPr>
          <w:rFonts w:ascii="Theinhardt Light" w:hAnsi="Theinhardt Light"/>
          <w:noProof/>
          <w:sz w:val="24"/>
          <w:szCs w:val="24"/>
        </w:rPr>
      </w:pPr>
    </w:p>
    <w:p w:rsidR="00D61E64" w:rsidRPr="00527D54" w:rsidRDefault="00FA0C4B" w:rsidP="00AD347A">
      <w:pPr>
        <w:pStyle w:val="Domylne"/>
        <w:jc w:val="both"/>
        <w:rPr>
          <w:rFonts w:ascii="Theinhardt Light" w:hAnsi="Theinhardt Light"/>
          <w:b/>
          <w:noProof/>
          <w:sz w:val="24"/>
          <w:szCs w:val="24"/>
        </w:rPr>
      </w:pPr>
      <w:r w:rsidRPr="00527D54">
        <w:rPr>
          <w:rFonts w:ascii="Theinhardt Light" w:hAnsi="Theinhardt Light"/>
          <w:b/>
          <w:noProof/>
          <w:sz w:val="24"/>
          <w:szCs w:val="24"/>
        </w:rPr>
        <w:t>Kontakt dla prasy:</w:t>
      </w:r>
    </w:p>
    <w:p w:rsidR="00D61E64" w:rsidRPr="00527D54" w:rsidRDefault="00FA0C4B" w:rsidP="00AD347A">
      <w:pPr>
        <w:pStyle w:val="Domylne"/>
        <w:jc w:val="both"/>
        <w:rPr>
          <w:rFonts w:ascii="Theinhardt Light" w:hAnsi="Theinhardt Light"/>
          <w:noProof/>
          <w:sz w:val="24"/>
          <w:szCs w:val="24"/>
        </w:rPr>
      </w:pPr>
      <w:r w:rsidRPr="00527D54">
        <w:rPr>
          <w:rFonts w:ascii="Theinhardt Light" w:hAnsi="Theinhardt Light"/>
          <w:noProof/>
          <w:sz w:val="24"/>
          <w:szCs w:val="24"/>
        </w:rPr>
        <w:t xml:space="preserve">Iga Winczakiewicz </w:t>
      </w:r>
      <w:hyperlink r:id="rId8" w:history="1">
        <w:r w:rsidR="00D61E64" w:rsidRPr="00527D54">
          <w:rPr>
            <w:rStyle w:val="Hipercze"/>
            <w:rFonts w:ascii="Theinhardt Light" w:hAnsi="Theinhardt Light"/>
            <w:noProof/>
            <w:sz w:val="24"/>
            <w:szCs w:val="24"/>
          </w:rPr>
          <w:t>iga.winczakiewicz@artmuseum.pl</w:t>
        </w:r>
      </w:hyperlink>
      <w:r w:rsidR="00D61E64" w:rsidRPr="00527D54">
        <w:rPr>
          <w:rFonts w:ascii="Theinhardt Light" w:hAnsi="Theinhardt Light"/>
          <w:noProof/>
          <w:sz w:val="24"/>
          <w:szCs w:val="24"/>
        </w:rPr>
        <w:t xml:space="preserve"> / </w:t>
      </w:r>
      <w:hyperlink r:id="rId9" w:history="1">
        <w:r w:rsidR="00D61E64" w:rsidRPr="00527D54">
          <w:rPr>
            <w:rStyle w:val="Hipercze"/>
            <w:rFonts w:ascii="Theinhardt Light" w:hAnsi="Theinhardt Light"/>
            <w:noProof/>
            <w:sz w:val="24"/>
            <w:szCs w:val="24"/>
          </w:rPr>
          <w:t>prasa@artmuseum.pl</w:t>
        </w:r>
      </w:hyperlink>
      <w:r w:rsidR="00D61E64" w:rsidRPr="00527D54">
        <w:rPr>
          <w:rFonts w:ascii="Theinhardt Light" w:hAnsi="Theinhardt Light"/>
          <w:noProof/>
          <w:sz w:val="24"/>
          <w:szCs w:val="24"/>
        </w:rPr>
        <w:t xml:space="preserve"> </w:t>
      </w:r>
    </w:p>
    <w:p w:rsidR="00D61E64" w:rsidRPr="00527D54" w:rsidRDefault="00D61E64" w:rsidP="00AD347A">
      <w:pPr>
        <w:pStyle w:val="Domylne"/>
        <w:jc w:val="both"/>
        <w:rPr>
          <w:rFonts w:ascii="Theinhardt Light" w:hAnsi="Theinhardt Light"/>
          <w:noProof/>
          <w:sz w:val="24"/>
          <w:szCs w:val="24"/>
        </w:rPr>
      </w:pPr>
      <w:r w:rsidRPr="00527D54">
        <w:rPr>
          <w:rFonts w:ascii="Theinhardt Light" w:hAnsi="Theinhardt Light"/>
          <w:noProof/>
          <w:sz w:val="24"/>
          <w:szCs w:val="24"/>
        </w:rPr>
        <w:t xml:space="preserve">tel. 22 596 40 23 </w:t>
      </w:r>
    </w:p>
    <w:p w:rsidR="006C659B" w:rsidRDefault="00D61E64" w:rsidP="00AD347A">
      <w:pPr>
        <w:pStyle w:val="Domylne"/>
        <w:jc w:val="both"/>
        <w:rPr>
          <w:rFonts w:ascii="Theinhardt Light" w:hAnsi="Theinhardt Light"/>
          <w:noProof/>
          <w:sz w:val="24"/>
          <w:szCs w:val="24"/>
        </w:rPr>
      </w:pPr>
      <w:r w:rsidRPr="00527D54">
        <w:rPr>
          <w:rFonts w:ascii="Theinhardt Light" w:hAnsi="Theinhardt Light"/>
          <w:noProof/>
          <w:sz w:val="24"/>
          <w:szCs w:val="24"/>
        </w:rPr>
        <w:t>Materiały prasowe i zdjęcia: prasa.artmuseum.pl</w:t>
      </w:r>
    </w:p>
    <w:p w:rsidR="005A4CB9" w:rsidRDefault="005A4CB9" w:rsidP="00AD347A">
      <w:pPr>
        <w:pStyle w:val="Domylne"/>
        <w:jc w:val="both"/>
        <w:rPr>
          <w:rFonts w:ascii="Theinhardt Light" w:hAnsi="Theinhardt Light"/>
          <w:noProof/>
          <w:sz w:val="24"/>
          <w:szCs w:val="24"/>
        </w:rPr>
      </w:pPr>
    </w:p>
    <w:p w:rsidR="005A4CB9" w:rsidRDefault="005A4CB9" w:rsidP="00AD347A">
      <w:pPr>
        <w:pStyle w:val="Domylne"/>
        <w:jc w:val="both"/>
        <w:rPr>
          <w:rFonts w:ascii="Theinhardt Light" w:hAnsi="Theinhardt Light"/>
          <w:noProof/>
          <w:sz w:val="24"/>
          <w:szCs w:val="24"/>
        </w:rPr>
      </w:pPr>
    </w:p>
    <w:p w:rsidR="005A4CB9" w:rsidRPr="00527D54" w:rsidRDefault="005C39E4" w:rsidP="00AD347A">
      <w:pPr>
        <w:pStyle w:val="Domylne"/>
        <w:jc w:val="both"/>
        <w:rPr>
          <w:rFonts w:ascii="Theinhardt Light" w:hAnsi="Theinhardt Light"/>
          <w:noProof/>
          <w:sz w:val="24"/>
          <w:szCs w:val="24"/>
        </w:rPr>
      </w:pPr>
      <w:r>
        <w:rPr>
          <w:rFonts w:ascii="Theinhardt Light" w:hAnsi="Theinhardt Light"/>
          <w:noProof/>
          <w:sz w:val="24"/>
          <w:szCs w:val="24"/>
        </w:rPr>
        <w:pict>
          <v:shape id="_x0000_i1026" type="#_x0000_t75" style="width:480.75pt;height:44.25pt">
            <v:imagedata r:id="rId10" o:title="pasek_logo_Edi_Hila"/>
          </v:shape>
        </w:pict>
      </w:r>
    </w:p>
    <w:sectPr w:rsidR="005A4CB9" w:rsidRPr="00527D54">
      <w:headerReference w:type="default" r:id="rId11"/>
      <w:footerReference w:type="default" r:id="rId12"/>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523" w:rsidRDefault="00CF6523">
      <w:r>
        <w:separator/>
      </w:r>
    </w:p>
  </w:endnote>
  <w:endnote w:type="continuationSeparator" w:id="0">
    <w:p w:rsidR="00CF6523" w:rsidRDefault="00CF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30204"/>
    <w:charset w:val="EE"/>
    <w:family w:val="swiss"/>
    <w:pitch w:val="variable"/>
    <w:sig w:usb0="20002A87" w:usb1="00000000" w:usb2="00000000" w:usb3="00000000" w:csb0="000001FF" w:csb1="00000000"/>
  </w:font>
  <w:font w:name="Arial">
    <w:panose1 w:val="020B0604020202020204"/>
    <w:charset w:val="EE"/>
    <w:family w:val="swiss"/>
    <w:pitch w:val="variable"/>
    <w:sig w:usb0="E0002EFF" w:usb1="C0007843" w:usb2="00000009" w:usb3="00000000" w:csb0="000001FF" w:csb1="00000000"/>
  </w:font>
  <w:font w:name="Theinhardt Light">
    <w:altName w:val="Theinhardt Light"/>
    <w:panose1 w:val="020B0303020202020204"/>
    <w:charset w:val="00"/>
    <w:family w:val="swiss"/>
    <w:notTrueType/>
    <w:pitch w:val="variable"/>
    <w:sig w:usb0="A00000AF" w:usb1="5000206A" w:usb2="00000000" w:usb3="00000000" w:csb0="00000093" w:csb1="00000000"/>
  </w:font>
  <w:font w:name="Theinhardt Medium">
    <w:altName w:val="Trebuchet MS"/>
    <w:panose1 w:val="020B0603020202020204"/>
    <w:charset w:val="00"/>
    <w:family w:val="swiss"/>
    <w:notTrueType/>
    <w:pitch w:val="variable"/>
    <w:sig w:usb0="A00000AF" w:usb1="5000206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B09" w:rsidRDefault="00B77B09">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523" w:rsidRDefault="00CF6523">
      <w:r>
        <w:separator/>
      </w:r>
    </w:p>
  </w:footnote>
  <w:footnote w:type="continuationSeparator" w:id="0">
    <w:p w:rsidR="00CF6523" w:rsidRDefault="00CF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B09" w:rsidRDefault="00B77B09">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09"/>
    <w:rsid w:val="0006390B"/>
    <w:rsid w:val="000839A1"/>
    <w:rsid w:val="000C6E92"/>
    <w:rsid w:val="000E7DBC"/>
    <w:rsid w:val="001417E8"/>
    <w:rsid w:val="00150A22"/>
    <w:rsid w:val="001C0957"/>
    <w:rsid w:val="001D47CF"/>
    <w:rsid w:val="00256E7A"/>
    <w:rsid w:val="003264AF"/>
    <w:rsid w:val="003E5756"/>
    <w:rsid w:val="00403780"/>
    <w:rsid w:val="00410887"/>
    <w:rsid w:val="00437035"/>
    <w:rsid w:val="004E5AD1"/>
    <w:rsid w:val="00527D54"/>
    <w:rsid w:val="00532630"/>
    <w:rsid w:val="005A4CB9"/>
    <w:rsid w:val="005C39E4"/>
    <w:rsid w:val="006C659B"/>
    <w:rsid w:val="007A2DFE"/>
    <w:rsid w:val="007B43EF"/>
    <w:rsid w:val="007D6D0B"/>
    <w:rsid w:val="008F1379"/>
    <w:rsid w:val="0098615B"/>
    <w:rsid w:val="009A5389"/>
    <w:rsid w:val="009C499B"/>
    <w:rsid w:val="009C6BCD"/>
    <w:rsid w:val="009E2159"/>
    <w:rsid w:val="00A36278"/>
    <w:rsid w:val="00A723B6"/>
    <w:rsid w:val="00A74F9D"/>
    <w:rsid w:val="00AD347A"/>
    <w:rsid w:val="00AF6446"/>
    <w:rsid w:val="00B55CEA"/>
    <w:rsid w:val="00B7695F"/>
    <w:rsid w:val="00B77B09"/>
    <w:rsid w:val="00C05CF0"/>
    <w:rsid w:val="00C26A69"/>
    <w:rsid w:val="00C47A33"/>
    <w:rsid w:val="00C659FB"/>
    <w:rsid w:val="00CF6523"/>
    <w:rsid w:val="00CF737D"/>
    <w:rsid w:val="00D36F60"/>
    <w:rsid w:val="00D61E64"/>
    <w:rsid w:val="00E629FD"/>
    <w:rsid w:val="00E8310B"/>
    <w:rsid w:val="00EA2EE6"/>
    <w:rsid w:val="00F123FC"/>
    <w:rsid w:val="00FA0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C4D88"/>
  <w15:docId w15:val="{77958BC4-F21E-4EB4-8A5C-FD3ABF8F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Arial Unicode MS" w:cs="Arial Unicode MS"/>
      <w:color w:val="000000"/>
      <w:sz w:val="24"/>
      <w:szCs w:val="24"/>
    </w:rPr>
  </w:style>
  <w:style w:type="paragraph" w:customStyle="1" w:styleId="Domylne">
    <w:name w:val="Domyślne"/>
    <w:rPr>
      <w:rFonts w:ascii="Helvetica" w:hAnsi="Arial Unicode MS" w:cs="Arial Unicode MS"/>
      <w:color w:val="000000"/>
      <w:sz w:val="22"/>
      <w:szCs w:val="22"/>
      <w:u w:color="000000"/>
    </w:rPr>
  </w:style>
  <w:style w:type="table" w:styleId="Tabela-Siatka">
    <w:name w:val="Table Grid"/>
    <w:basedOn w:val="Standardowy"/>
    <w:uiPriority w:val="39"/>
    <w:rsid w:val="00E62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AF6446"/>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color w:val="000000"/>
      <w:sz w:val="22"/>
      <w:szCs w:val="22"/>
      <w:bdr w:val="none" w:sz="0" w:space="0" w:color="auto"/>
    </w:rPr>
  </w:style>
  <w:style w:type="character" w:customStyle="1" w:styleId="apple-converted-space">
    <w:name w:val="apple-converted-space"/>
    <w:basedOn w:val="Domylnaczcionkaakapitu"/>
    <w:qFormat/>
    <w:rsid w:val="004E5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a.winczakiewicz@artmuseum.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prasa@artmuseum.pl"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D2E29-45F6-483E-9B4A-62CFA8047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2</Pages>
  <Words>731</Words>
  <Characters>4392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Andino Velez</dc:creator>
  <cp:lastModifiedBy>Iga Winczakiewicz</cp:lastModifiedBy>
  <cp:revision>25</cp:revision>
  <cp:lastPrinted>2018-02-13T16:42:00Z</cp:lastPrinted>
  <dcterms:created xsi:type="dcterms:W3CDTF">2017-06-20T13:43:00Z</dcterms:created>
  <dcterms:modified xsi:type="dcterms:W3CDTF">2018-02-22T14:29:00Z</dcterms:modified>
</cp:coreProperties>
</file>