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DA6F" w14:textId="77777777" w:rsidR="00222415" w:rsidRPr="00C1619C" w:rsidRDefault="00222415">
      <w:pPr>
        <w:rPr>
          <w:rFonts w:ascii="Theinhardt Light" w:hAnsi="Theinhardt Light"/>
          <w:sz w:val="24"/>
          <w:szCs w:val="24"/>
        </w:rPr>
      </w:pP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443F5B" w:rsidRPr="00C1619C" w14:paraId="4A8395A5" w14:textId="77777777" w:rsidTr="00C1619C">
        <w:tc>
          <w:tcPr>
            <w:tcW w:w="3823" w:type="dxa"/>
          </w:tcPr>
          <w:p w14:paraId="5EC4AD7B" w14:textId="1D9DFC6E" w:rsidR="00443F5B" w:rsidRPr="00C1619C" w:rsidRDefault="00C1619C" w:rsidP="00C1619C">
            <w:pPr>
              <w:spacing w:line="360" w:lineRule="auto"/>
              <w:jc w:val="both"/>
              <w:rPr>
                <w:rFonts w:ascii="Theinhardt Light" w:eastAsia="Times New Roman" w:hAnsi="Theinhardt Light" w:cs="Times New Roman"/>
                <w:b/>
                <w:sz w:val="24"/>
                <w:szCs w:val="24"/>
              </w:rPr>
            </w:pPr>
            <w:r w:rsidRPr="00C1619C">
              <w:rPr>
                <w:rFonts w:ascii="Theinhardt Light" w:eastAsia="Times New Roman" w:hAnsi="Theinhardt Light" w:cs="Times New Roman"/>
                <w:b/>
                <w:sz w:val="24"/>
                <w:szCs w:val="24"/>
              </w:rPr>
              <w:t xml:space="preserve">  </w:t>
            </w:r>
            <w:r w:rsidR="00D909CB">
              <w:rPr>
                <w:rFonts w:ascii="Theinhardt Light" w:eastAsia="Times New Roman" w:hAnsi="Theinhardt Light" w:cs="Times New Roman"/>
                <w:b/>
                <w:sz w:val="24"/>
                <w:szCs w:val="24"/>
              </w:rPr>
              <w:pict w14:anchorId="4123D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19.25pt">
                  <v:imagedata r:id="rId4" o:title="logo_Muzeum_PL_wysokie_M_HQ"/>
                </v:shape>
              </w:pict>
            </w:r>
            <w:r w:rsidRPr="00C1619C">
              <w:rPr>
                <w:rFonts w:ascii="Theinhardt Light" w:eastAsia="Times New Roman" w:hAnsi="Theinhardt Light" w:cs="Times New Roman"/>
                <w:b/>
                <w:noProof/>
                <w:sz w:val="24"/>
                <w:szCs w:val="24"/>
                <w:lang w:val="pl-PL"/>
              </w:rPr>
              <w:drawing>
                <wp:inline distT="0" distB="0" distL="0" distR="0" wp14:anchorId="3AF57ECB" wp14:editId="3C1F3F4A">
                  <wp:extent cx="2047875" cy="666750"/>
                  <wp:effectExtent l="0" t="0" r="9525" b="0"/>
                  <wp:docPr id="1" name="Obraz 1" descr="C:\Users\i.winczakiewicz\AppData\Local\Microsoft\Windows\INetCache\Content.Word\Fundacja EFC_na st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C:\Users\i.winczakiewicz\AppData\Local\Microsoft\Windows\INetCache\Content.Word\Fundacja EFC_na str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p>
        </w:tc>
        <w:tc>
          <w:tcPr>
            <w:tcW w:w="5244" w:type="dxa"/>
            <w:tcBorders>
              <w:left w:val="nil"/>
            </w:tcBorders>
          </w:tcPr>
          <w:p w14:paraId="3178B1A3" w14:textId="1260C0E1" w:rsidR="00443F5B" w:rsidRPr="00C1619C" w:rsidRDefault="005861BF" w:rsidP="00C1619C">
            <w:pPr>
              <w:spacing w:line="276" w:lineRule="auto"/>
              <w:jc w:val="right"/>
              <w:rPr>
                <w:rFonts w:ascii="Theinhardt Light" w:eastAsia="Times New Roman" w:hAnsi="Theinhardt Light" w:cs="Times New Roman"/>
                <w:b/>
                <w:sz w:val="24"/>
                <w:szCs w:val="24"/>
              </w:rPr>
            </w:pPr>
            <w:r>
              <w:rPr>
                <w:rFonts w:ascii="Theinhardt Light" w:eastAsia="Times New Roman" w:hAnsi="Theinhardt Light" w:cs="Times New Roman"/>
                <w:b/>
                <w:sz w:val="24"/>
                <w:szCs w:val="24"/>
              </w:rPr>
              <w:t>PRESS INFO</w:t>
            </w:r>
          </w:p>
          <w:p w14:paraId="4B5F9AE3" w14:textId="77777777" w:rsidR="00C1619C" w:rsidRPr="00C1619C" w:rsidRDefault="00C1619C" w:rsidP="00C1619C">
            <w:pPr>
              <w:spacing w:line="276" w:lineRule="auto"/>
              <w:jc w:val="right"/>
              <w:rPr>
                <w:rFonts w:ascii="Theinhardt Light" w:eastAsia="Times New Roman" w:hAnsi="Theinhardt Light" w:cs="Times New Roman"/>
                <w:b/>
                <w:sz w:val="24"/>
                <w:szCs w:val="24"/>
              </w:rPr>
            </w:pPr>
          </w:p>
          <w:p w14:paraId="22C6E239" w14:textId="645333CD" w:rsidR="00222415" w:rsidRPr="00C1619C" w:rsidRDefault="00C1619C" w:rsidP="00C1619C">
            <w:pPr>
              <w:spacing w:line="276" w:lineRule="auto"/>
              <w:jc w:val="right"/>
              <w:rPr>
                <w:rFonts w:ascii="Theinhardt Light" w:eastAsia="Times New Roman" w:hAnsi="Theinhardt Light" w:cs="Times New Roman"/>
                <w:b/>
                <w:sz w:val="24"/>
                <w:szCs w:val="24"/>
              </w:rPr>
            </w:pPr>
            <w:r w:rsidRPr="00C1619C">
              <w:rPr>
                <w:rFonts w:ascii="Theinhardt Light" w:eastAsia="Times New Roman" w:hAnsi="Theinhardt Light" w:cs="Times New Roman"/>
                <w:b/>
                <w:sz w:val="24"/>
                <w:szCs w:val="24"/>
              </w:rPr>
              <w:t>„</w:t>
            </w:r>
            <w:proofErr w:type="spellStart"/>
            <w:r w:rsidR="005861BF">
              <w:rPr>
                <w:rFonts w:ascii="Theinhardt Light" w:eastAsia="Times New Roman" w:hAnsi="Theinhardt Light" w:cs="Times New Roman"/>
                <w:b/>
                <w:sz w:val="24"/>
                <w:szCs w:val="24"/>
              </w:rPr>
              <w:t>Fundamental</w:t>
            </w:r>
            <w:proofErr w:type="spellEnd"/>
            <w:r w:rsidR="005861BF">
              <w:rPr>
                <w:rFonts w:ascii="Theinhardt Light" w:eastAsia="Times New Roman" w:hAnsi="Theinhardt Light" w:cs="Times New Roman"/>
                <w:b/>
                <w:sz w:val="24"/>
                <w:szCs w:val="24"/>
              </w:rPr>
              <w:t xml:space="preserve"> </w:t>
            </w:r>
            <w:proofErr w:type="spellStart"/>
            <w:r w:rsidR="005861BF">
              <w:rPr>
                <w:rFonts w:ascii="Theinhardt Light" w:eastAsia="Times New Roman" w:hAnsi="Theinhardt Light" w:cs="Times New Roman"/>
                <w:b/>
                <w:sz w:val="24"/>
                <w:szCs w:val="24"/>
              </w:rPr>
              <w:t>Forms</w:t>
            </w:r>
            <w:proofErr w:type="spellEnd"/>
            <w:r w:rsidRPr="00C1619C">
              <w:rPr>
                <w:rFonts w:ascii="Theinhardt Light" w:eastAsia="Times New Roman" w:hAnsi="Theinhardt Light" w:cs="Times New Roman"/>
                <w:b/>
                <w:sz w:val="24"/>
                <w:szCs w:val="24"/>
              </w:rPr>
              <w:t>”</w:t>
            </w:r>
          </w:p>
          <w:p w14:paraId="0FE67A72" w14:textId="77777777" w:rsidR="00C1619C" w:rsidRPr="00C1619C" w:rsidRDefault="00C1619C" w:rsidP="00C1619C">
            <w:pPr>
              <w:spacing w:line="276" w:lineRule="auto"/>
              <w:jc w:val="right"/>
              <w:rPr>
                <w:rFonts w:ascii="Theinhardt Light" w:eastAsia="Times New Roman" w:hAnsi="Theinhardt Light" w:cs="Times New Roman"/>
                <w:b/>
                <w:sz w:val="24"/>
                <w:szCs w:val="24"/>
              </w:rPr>
            </w:pPr>
          </w:p>
          <w:p w14:paraId="15DDDB09" w14:textId="4AC95144" w:rsidR="00C1619C" w:rsidRPr="00C1619C" w:rsidRDefault="005861BF" w:rsidP="00C1619C">
            <w:pPr>
              <w:spacing w:line="276" w:lineRule="auto"/>
              <w:jc w:val="right"/>
              <w:rPr>
                <w:rFonts w:ascii="Theinhardt Light" w:eastAsia="Times New Roman" w:hAnsi="Theinhardt Light" w:cs="Times New Roman"/>
                <w:b/>
                <w:sz w:val="24"/>
                <w:szCs w:val="24"/>
              </w:rPr>
            </w:pPr>
            <w:proofErr w:type="spellStart"/>
            <w:r>
              <w:rPr>
                <w:rFonts w:ascii="Theinhardt Light" w:eastAsia="Times New Roman" w:hAnsi="Theinhardt Light" w:cs="Times New Roman"/>
                <w:b/>
                <w:sz w:val="24"/>
                <w:szCs w:val="24"/>
              </w:rPr>
              <w:t>Organizers</w:t>
            </w:r>
            <w:proofErr w:type="spellEnd"/>
            <w:r w:rsidR="00C1619C" w:rsidRPr="00C1619C">
              <w:rPr>
                <w:rFonts w:ascii="Theinhardt Light" w:eastAsia="Times New Roman" w:hAnsi="Theinhardt Light" w:cs="Times New Roman"/>
                <w:b/>
                <w:sz w:val="24"/>
                <w:szCs w:val="24"/>
              </w:rPr>
              <w:t>:</w:t>
            </w:r>
          </w:p>
          <w:p w14:paraId="0B0C8227" w14:textId="71F66DC4" w:rsidR="00222415" w:rsidRPr="00C1619C" w:rsidRDefault="00222415" w:rsidP="00C1619C">
            <w:pPr>
              <w:spacing w:line="276" w:lineRule="auto"/>
              <w:jc w:val="right"/>
              <w:rPr>
                <w:rFonts w:ascii="Theinhardt Light" w:eastAsia="Times New Roman" w:hAnsi="Theinhardt Light" w:cs="Times New Roman"/>
                <w:b/>
                <w:sz w:val="24"/>
                <w:szCs w:val="24"/>
              </w:rPr>
            </w:pPr>
            <w:r w:rsidRPr="00C1619C">
              <w:rPr>
                <w:rFonts w:ascii="Theinhardt Light" w:eastAsia="Times New Roman" w:hAnsi="Theinhardt Light" w:cs="Times New Roman"/>
                <w:b/>
                <w:sz w:val="24"/>
                <w:szCs w:val="24"/>
              </w:rPr>
              <w:t>Muzeum Sztuki Nowoczesnej w Warszawie</w:t>
            </w:r>
          </w:p>
          <w:p w14:paraId="714D8A07" w14:textId="4FCD7815" w:rsidR="00222415" w:rsidRPr="00C1619C" w:rsidRDefault="00222415" w:rsidP="00C1619C">
            <w:pPr>
              <w:spacing w:line="276" w:lineRule="auto"/>
              <w:jc w:val="right"/>
              <w:rPr>
                <w:rFonts w:ascii="Theinhardt Light" w:eastAsia="Times New Roman" w:hAnsi="Theinhardt Light" w:cs="Times New Roman"/>
                <w:b/>
                <w:sz w:val="24"/>
                <w:szCs w:val="24"/>
              </w:rPr>
            </w:pPr>
            <w:r w:rsidRPr="00C1619C">
              <w:rPr>
                <w:rFonts w:ascii="Theinhardt Light" w:eastAsia="Times New Roman" w:hAnsi="Theinhardt Light" w:cs="Times New Roman"/>
                <w:b/>
                <w:sz w:val="24"/>
                <w:szCs w:val="24"/>
              </w:rPr>
              <w:t>Edukacyjna Fundacja im. Romana Czerneckiego</w:t>
            </w:r>
          </w:p>
          <w:p w14:paraId="3A402977" w14:textId="57793A2C" w:rsidR="00222415" w:rsidRPr="00C1619C" w:rsidRDefault="00C1619C" w:rsidP="00C1619C">
            <w:pPr>
              <w:spacing w:before="240" w:after="240" w:line="276" w:lineRule="auto"/>
              <w:jc w:val="right"/>
              <w:rPr>
                <w:rFonts w:ascii="Theinhardt Light" w:eastAsia="Times New Roman" w:hAnsi="Theinhardt Light" w:cs="Times New Roman"/>
                <w:b/>
                <w:sz w:val="24"/>
                <w:szCs w:val="24"/>
              </w:rPr>
            </w:pPr>
            <w:r w:rsidRPr="00C1619C">
              <w:rPr>
                <w:rFonts w:ascii="Theinhardt Light" w:eastAsia="Times New Roman" w:hAnsi="Theinhardt Light" w:cs="Times New Roman"/>
                <w:b/>
                <w:sz w:val="24"/>
                <w:szCs w:val="24"/>
              </w:rPr>
              <w:t>2021/2022</w:t>
            </w:r>
          </w:p>
        </w:tc>
      </w:tr>
    </w:tbl>
    <w:p w14:paraId="1FFBD0B2" w14:textId="77777777" w:rsidR="005861BF" w:rsidRDefault="005861BF" w:rsidP="005861BF">
      <w:pPr>
        <w:suppressAutoHyphens/>
        <w:spacing w:after="120"/>
        <w:jc w:val="both"/>
        <w:rPr>
          <w:rFonts w:ascii="Theinhardt Light" w:eastAsia="Times New Roman" w:hAnsi="Theinhardt Light" w:cs="Times New Roman"/>
          <w:b/>
          <w:sz w:val="24"/>
          <w:szCs w:val="24"/>
        </w:rPr>
      </w:pPr>
    </w:p>
    <w:p w14:paraId="0D0ACE93" w14:textId="25AE04D3" w:rsidR="005861BF" w:rsidRPr="005861BF" w:rsidRDefault="005861BF" w:rsidP="005861BF">
      <w:pPr>
        <w:suppressAutoHyphens/>
        <w:spacing w:after="120"/>
        <w:jc w:val="both"/>
        <w:rPr>
          <w:rFonts w:ascii="Theinhardt Light" w:eastAsia="Times New Roman" w:hAnsi="Theinhardt Light" w:cs="Times New Roman"/>
          <w:b/>
          <w:sz w:val="24"/>
          <w:szCs w:val="24"/>
          <w:lang w:val="en-GB"/>
        </w:rPr>
      </w:pPr>
      <w:r w:rsidRPr="005861BF">
        <w:rPr>
          <w:rFonts w:ascii="Theinhardt Light" w:eastAsia="Times New Roman" w:hAnsi="Theinhardt Light" w:cs="Times New Roman"/>
          <w:b/>
          <w:sz w:val="24"/>
          <w:szCs w:val="24"/>
          <w:lang w:val="en-GB"/>
        </w:rPr>
        <w:t>What can we do with art?</w:t>
      </w:r>
    </w:p>
    <w:p w14:paraId="72A3A076" w14:textId="77777777" w:rsidR="005861BF" w:rsidRPr="005861BF" w:rsidRDefault="005861BF" w:rsidP="005861BF">
      <w:pPr>
        <w:suppressAutoHyphens/>
        <w:spacing w:after="120"/>
        <w:jc w:val="both"/>
        <w:rPr>
          <w:rFonts w:ascii="Theinhardt Light" w:eastAsia="Times New Roman" w:hAnsi="Theinhardt Light" w:cs="Times New Roman"/>
          <w:b/>
          <w:sz w:val="24"/>
          <w:szCs w:val="24"/>
          <w:lang w:val="en-GB"/>
        </w:rPr>
      </w:pPr>
      <w:r w:rsidRPr="005861BF">
        <w:rPr>
          <w:rFonts w:ascii="Theinhardt Light" w:eastAsia="Times New Roman" w:hAnsi="Theinhardt Light" w:cs="Times New Roman"/>
          <w:b/>
          <w:sz w:val="24"/>
          <w:szCs w:val="24"/>
          <w:lang w:val="en-GB"/>
        </w:rPr>
        <w:t>Ten schools and ten exhibitions hidden in ten boxes. At the invitation of the Museum of Modern Art in Warsaw, an international group of artists have prepared special works for Polish primary schools. The exhibition becomes a model to assemble: do it yourself, or let’s do it together!</w:t>
      </w:r>
    </w:p>
    <w:p w14:paraId="0A4FBE84" w14:textId="77777777" w:rsidR="005861BF" w:rsidRPr="005861BF" w:rsidRDefault="005861BF" w:rsidP="005861BF">
      <w:pPr>
        <w:suppressAutoHyphens/>
        <w:spacing w:after="120"/>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sz w:val="24"/>
          <w:szCs w:val="24"/>
          <w:lang w:val="en-GB"/>
        </w:rPr>
        <w:t xml:space="preserve">Along with the Roman </w:t>
      </w:r>
      <w:proofErr w:type="spellStart"/>
      <w:r w:rsidRPr="005861BF">
        <w:rPr>
          <w:rFonts w:ascii="Theinhardt Light" w:eastAsia="Times New Roman" w:hAnsi="Theinhardt Light" w:cs="Times New Roman"/>
          <w:sz w:val="24"/>
          <w:szCs w:val="24"/>
          <w:lang w:val="en-GB"/>
        </w:rPr>
        <w:t>Czernecki</w:t>
      </w:r>
      <w:proofErr w:type="spellEnd"/>
      <w:r w:rsidRPr="005861BF">
        <w:rPr>
          <w:rFonts w:ascii="Theinhardt Light" w:eastAsia="Times New Roman" w:hAnsi="Theinhardt Light" w:cs="Times New Roman"/>
          <w:sz w:val="24"/>
          <w:szCs w:val="24"/>
          <w:lang w:val="en-GB"/>
        </w:rPr>
        <w:t xml:space="preserve"> Educational Foundation, the Museum of Modern Art in Warsaw has prepared </w:t>
      </w:r>
      <w:r w:rsidRPr="005861BF">
        <w:rPr>
          <w:rFonts w:ascii="Theinhardt Light" w:eastAsia="Times New Roman" w:hAnsi="Theinhardt Light" w:cs="Times New Roman"/>
          <w:b/>
          <w:bCs/>
          <w:sz w:val="24"/>
          <w:szCs w:val="24"/>
          <w:lang w:val="en-GB"/>
        </w:rPr>
        <w:t xml:space="preserve">a new programme of artistic cooperation entitled </w:t>
      </w:r>
      <w:r w:rsidRPr="005861BF">
        <w:rPr>
          <w:rFonts w:ascii="Theinhardt Light" w:eastAsia="Times New Roman" w:hAnsi="Theinhardt Light" w:cs="Times New Roman"/>
          <w:b/>
          <w:bCs/>
          <w:i/>
          <w:iCs/>
          <w:sz w:val="24"/>
          <w:szCs w:val="24"/>
          <w:lang w:val="en-GB"/>
        </w:rPr>
        <w:t>Fundamental Forms</w:t>
      </w:r>
      <w:r w:rsidRPr="005861BF">
        <w:rPr>
          <w:rFonts w:ascii="Theinhardt Light" w:eastAsia="Times New Roman" w:hAnsi="Theinhardt Light" w:cs="Times New Roman"/>
          <w:sz w:val="24"/>
          <w:szCs w:val="24"/>
          <w:lang w:val="en-GB"/>
        </w:rPr>
        <w:t>. The pilot edition will be held during this year’s 13</w:t>
      </w:r>
      <w:r w:rsidRPr="005861BF">
        <w:rPr>
          <w:rFonts w:ascii="Theinhardt Light" w:eastAsia="Times New Roman" w:hAnsi="Theinhardt Light" w:cs="Times New Roman"/>
          <w:sz w:val="24"/>
          <w:szCs w:val="24"/>
          <w:vertAlign w:val="superscript"/>
          <w:lang w:val="en-GB"/>
        </w:rPr>
        <w:t>th</w:t>
      </w:r>
      <w:r w:rsidRPr="005861BF">
        <w:rPr>
          <w:rFonts w:ascii="Theinhardt Light" w:eastAsia="Times New Roman" w:hAnsi="Theinhardt Light" w:cs="Times New Roman"/>
          <w:sz w:val="24"/>
          <w:szCs w:val="24"/>
          <w:lang w:val="en-GB"/>
        </w:rPr>
        <w:t xml:space="preserve"> edition of the WARSAW UNDER CONSTRUCTION festival under the title “How to make a school?” which will be entirely devoted to design for education. </w:t>
      </w:r>
      <w:r w:rsidRPr="005861BF">
        <w:rPr>
          <w:rFonts w:ascii="Theinhardt Light" w:eastAsia="Times New Roman" w:hAnsi="Theinhardt Light" w:cs="Times New Roman"/>
          <w:b/>
          <w:sz w:val="24"/>
          <w:szCs w:val="24"/>
          <w:lang w:val="en-GB"/>
        </w:rPr>
        <w:t xml:space="preserve">Sebastian </w:t>
      </w:r>
      <w:proofErr w:type="spellStart"/>
      <w:r w:rsidRPr="005861BF">
        <w:rPr>
          <w:rFonts w:ascii="Theinhardt Light" w:eastAsia="Times New Roman" w:hAnsi="Theinhardt Light" w:cs="Times New Roman"/>
          <w:b/>
          <w:sz w:val="24"/>
          <w:szCs w:val="24"/>
          <w:lang w:val="en-GB"/>
        </w:rPr>
        <w:t>Cichocki</w:t>
      </w:r>
      <w:proofErr w:type="spellEnd"/>
      <w:r w:rsidRPr="005861BF">
        <w:rPr>
          <w:rFonts w:ascii="Theinhardt Light" w:eastAsia="Times New Roman" w:hAnsi="Theinhardt Light" w:cs="Times New Roman"/>
          <w:b/>
          <w:sz w:val="24"/>
          <w:szCs w:val="24"/>
          <w:lang w:val="en-GB"/>
        </w:rPr>
        <w:t xml:space="preserve"> and Helena </w:t>
      </w:r>
      <w:proofErr w:type="spellStart"/>
      <w:r w:rsidRPr="005861BF">
        <w:rPr>
          <w:rFonts w:ascii="Theinhardt Light" w:eastAsia="Times New Roman" w:hAnsi="Theinhardt Light" w:cs="Times New Roman"/>
          <w:b/>
          <w:sz w:val="24"/>
          <w:szCs w:val="24"/>
          <w:lang w:val="en-GB"/>
        </w:rPr>
        <w:t>Czernecka</w:t>
      </w:r>
      <w:proofErr w:type="spellEnd"/>
      <w:r w:rsidRPr="005861BF">
        <w:rPr>
          <w:rFonts w:ascii="Theinhardt Light" w:eastAsia="Times New Roman" w:hAnsi="Theinhardt Light" w:cs="Times New Roman"/>
          <w:b/>
          <w:sz w:val="24"/>
          <w:szCs w:val="24"/>
          <w:lang w:val="en-GB"/>
        </w:rPr>
        <w:t xml:space="preserve"> invited </w:t>
      </w:r>
      <w:r w:rsidRPr="005861BF">
        <w:rPr>
          <w:rFonts w:ascii="Theinhardt Light" w:eastAsia="Times New Roman" w:hAnsi="Theinhardt Light" w:cs="Times New Roman"/>
          <w:sz w:val="24"/>
          <w:szCs w:val="24"/>
          <w:lang w:val="en-GB"/>
        </w:rPr>
        <w:t>10 Polish and foreign artists and collectives—including</w:t>
      </w:r>
      <w:r w:rsidRPr="005861BF">
        <w:rPr>
          <w:rFonts w:ascii="Theinhardt Light" w:eastAsia="Times New Roman" w:hAnsi="Theinhardt Light" w:cs="Times New Roman"/>
          <w:b/>
          <w:sz w:val="24"/>
          <w:szCs w:val="24"/>
          <w:lang w:val="en-GB"/>
        </w:rPr>
        <w:t xml:space="preserve"> Slavs and Tatars, </w:t>
      </w:r>
      <w:proofErr w:type="spellStart"/>
      <w:r w:rsidRPr="005861BF">
        <w:rPr>
          <w:rFonts w:ascii="Theinhardt Light" w:eastAsia="Times New Roman" w:hAnsi="Theinhardt Light" w:cs="Times New Roman"/>
          <w:b/>
          <w:sz w:val="24"/>
          <w:szCs w:val="24"/>
          <w:lang w:val="en-GB"/>
        </w:rPr>
        <w:t>Goshka</w:t>
      </w:r>
      <w:proofErr w:type="spellEnd"/>
      <w:r w:rsidRPr="005861BF">
        <w:rPr>
          <w:rFonts w:ascii="Theinhardt Light" w:eastAsia="Times New Roman" w:hAnsi="Theinhardt Light" w:cs="Times New Roman"/>
          <w:b/>
          <w:sz w:val="24"/>
          <w:szCs w:val="24"/>
          <w:lang w:val="en-GB"/>
        </w:rPr>
        <w:t xml:space="preserve"> </w:t>
      </w:r>
      <w:proofErr w:type="spellStart"/>
      <w:r w:rsidRPr="005861BF">
        <w:rPr>
          <w:rFonts w:ascii="Theinhardt Light" w:eastAsia="Times New Roman" w:hAnsi="Theinhardt Light" w:cs="Times New Roman"/>
          <w:b/>
          <w:sz w:val="24"/>
          <w:szCs w:val="24"/>
          <w:lang w:val="en-GB"/>
        </w:rPr>
        <w:t>Macuga</w:t>
      </w:r>
      <w:proofErr w:type="spellEnd"/>
      <w:r w:rsidRPr="005861BF">
        <w:rPr>
          <w:rFonts w:ascii="Theinhardt Light" w:eastAsia="Times New Roman" w:hAnsi="Theinhardt Light" w:cs="Times New Roman"/>
          <w:b/>
          <w:sz w:val="24"/>
          <w:szCs w:val="24"/>
          <w:lang w:val="en-GB"/>
        </w:rPr>
        <w:t xml:space="preserve">, Ramona </w:t>
      </w:r>
      <w:proofErr w:type="spellStart"/>
      <w:r w:rsidRPr="005861BF">
        <w:rPr>
          <w:rFonts w:ascii="Theinhardt Light" w:eastAsia="Times New Roman" w:hAnsi="Theinhardt Light" w:cs="Times New Roman"/>
          <w:b/>
          <w:sz w:val="24"/>
          <w:szCs w:val="24"/>
          <w:lang w:val="en-GB"/>
        </w:rPr>
        <w:t>Nagabczyńska</w:t>
      </w:r>
      <w:proofErr w:type="spellEnd"/>
      <w:r w:rsidRPr="005861BF">
        <w:rPr>
          <w:rFonts w:ascii="Theinhardt Light" w:eastAsia="Times New Roman" w:hAnsi="Theinhardt Light" w:cs="Times New Roman"/>
          <w:b/>
          <w:sz w:val="24"/>
          <w:szCs w:val="24"/>
          <w:lang w:val="en-GB"/>
        </w:rPr>
        <w:t xml:space="preserve"> and Sharon Lockhart</w:t>
      </w:r>
      <w:r w:rsidRPr="005861BF">
        <w:rPr>
          <w:rFonts w:ascii="Theinhardt Light" w:eastAsia="Times New Roman" w:hAnsi="Theinhardt Light" w:cs="Times New Roman"/>
          <w:sz w:val="24"/>
          <w:szCs w:val="24"/>
          <w:lang w:val="en-GB"/>
        </w:rPr>
        <w:t>—to prepare instructions for execution of artworks or elements for assembling them. Ten small boxes with instructions will be included in a single larger box, resembling an architectural model of a school building. They will go to 10 primary schools all over Poland so that, along with their teachers, pupils from grades 4–8 can prepare their own exhibitions.</w:t>
      </w:r>
    </w:p>
    <w:p w14:paraId="304C73F1" w14:textId="77777777" w:rsidR="005861BF" w:rsidRPr="005861BF" w:rsidRDefault="005861BF" w:rsidP="005861BF">
      <w:pPr>
        <w:suppressAutoHyphens/>
        <w:spacing w:after="120"/>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sz w:val="24"/>
          <w:szCs w:val="24"/>
          <w:lang w:val="en-GB"/>
        </w:rPr>
        <w:t xml:space="preserve">“We were inspired by the programme </w:t>
      </w:r>
      <w:r w:rsidRPr="005861BF">
        <w:rPr>
          <w:rFonts w:ascii="Theinhardt Light" w:eastAsia="Times New Roman" w:hAnsi="Theinhardt Light" w:cs="Times New Roman"/>
          <w:i/>
          <w:iCs/>
          <w:sz w:val="24"/>
          <w:szCs w:val="24"/>
          <w:lang w:val="en-GB"/>
        </w:rPr>
        <w:t>School Prints</w:t>
      </w:r>
      <w:r w:rsidRPr="005861BF">
        <w:rPr>
          <w:rFonts w:ascii="Theinhardt Light" w:eastAsia="Times New Roman" w:hAnsi="Theinhardt Light" w:cs="Times New Roman"/>
          <w:sz w:val="24"/>
          <w:szCs w:val="24"/>
          <w:lang w:val="en-GB"/>
        </w:rPr>
        <w:t xml:space="preserve">, launched in the UK after the stormy years of the Second World War,” explained Sebastian </w:t>
      </w:r>
      <w:proofErr w:type="spellStart"/>
      <w:r w:rsidRPr="005861BF">
        <w:rPr>
          <w:rFonts w:ascii="Theinhardt Light" w:eastAsia="Times New Roman" w:hAnsi="Theinhardt Light" w:cs="Times New Roman"/>
          <w:sz w:val="24"/>
          <w:szCs w:val="24"/>
          <w:lang w:val="en-GB"/>
        </w:rPr>
        <w:t>Cichocki</w:t>
      </w:r>
      <w:proofErr w:type="spellEnd"/>
      <w:r w:rsidRPr="005861BF">
        <w:rPr>
          <w:rFonts w:ascii="Theinhardt Light" w:eastAsia="Times New Roman" w:hAnsi="Theinhardt Light" w:cs="Times New Roman"/>
          <w:sz w:val="24"/>
          <w:szCs w:val="24"/>
          <w:lang w:val="en-GB"/>
        </w:rPr>
        <w:t xml:space="preserve">, chief curator at the Museum of Modern Art in Warsaw. “Portfolios were created then with unique lithographs by Barbara Jones, Henri Matisse and Pablo Picasso, which were displayed on the walls of classrooms and school corridors. We were intrigued by </w:t>
      </w:r>
      <w:r w:rsidRPr="005861BF">
        <w:rPr>
          <w:rFonts w:ascii="Theinhardt Light" w:eastAsia="Times New Roman" w:hAnsi="Theinhardt Light" w:cs="Times New Roman"/>
          <w:b/>
          <w:bCs/>
          <w:sz w:val="24"/>
          <w:szCs w:val="24"/>
          <w:lang w:val="en-GB"/>
        </w:rPr>
        <w:t>what happens with art outside the museum, when it becomes part of everyday life, learning and fun</w:t>
      </w:r>
      <w:r w:rsidRPr="005861BF">
        <w:rPr>
          <w:rFonts w:ascii="Theinhardt Light" w:eastAsia="Times New Roman" w:hAnsi="Theinhardt Light" w:cs="Times New Roman"/>
          <w:sz w:val="24"/>
          <w:szCs w:val="24"/>
          <w:lang w:val="en-GB"/>
        </w:rPr>
        <w:t>.”</w:t>
      </w:r>
    </w:p>
    <w:p w14:paraId="0008C1EA" w14:textId="77777777" w:rsidR="005861BF" w:rsidRPr="005861BF" w:rsidRDefault="005861BF" w:rsidP="005861BF">
      <w:pPr>
        <w:suppressAutoHyphens/>
        <w:spacing w:after="120"/>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i/>
          <w:sz w:val="24"/>
          <w:szCs w:val="24"/>
          <w:lang w:val="en-GB"/>
        </w:rPr>
        <w:t>Fundamental Forms</w:t>
      </w:r>
      <w:r w:rsidRPr="005861BF">
        <w:rPr>
          <w:rFonts w:ascii="Theinhardt Light" w:eastAsia="Times New Roman" w:hAnsi="Theinhardt Light" w:cs="Times New Roman"/>
          <w:sz w:val="24"/>
          <w:szCs w:val="24"/>
          <w:lang w:val="en-GB"/>
        </w:rPr>
        <w:t xml:space="preserve"> is an invitation to youngsters to enter the role of artists creating works as well as curators preparing various exhibitions from those works. The project also alludes to initiatives within an educational setting by such artists as Joseph Beuys, Cornelius </w:t>
      </w:r>
      <w:proofErr w:type="spellStart"/>
      <w:r w:rsidRPr="005861BF">
        <w:rPr>
          <w:rFonts w:ascii="Theinhardt Light" w:eastAsia="Times New Roman" w:hAnsi="Theinhardt Light" w:cs="Times New Roman"/>
          <w:sz w:val="24"/>
          <w:szCs w:val="24"/>
          <w:lang w:val="en-GB"/>
        </w:rPr>
        <w:t>Cardew</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Jef</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Geys</w:t>
      </w:r>
      <w:proofErr w:type="spellEnd"/>
      <w:r w:rsidRPr="005861BF">
        <w:rPr>
          <w:rFonts w:ascii="Theinhardt Light" w:eastAsia="Times New Roman" w:hAnsi="Theinhardt Light" w:cs="Times New Roman"/>
          <w:sz w:val="24"/>
          <w:szCs w:val="24"/>
          <w:lang w:val="en-GB"/>
        </w:rPr>
        <w:t xml:space="preserve">, Anna </w:t>
      </w:r>
      <w:proofErr w:type="spellStart"/>
      <w:r w:rsidRPr="005861BF">
        <w:rPr>
          <w:rFonts w:ascii="Theinhardt Light" w:eastAsia="Times New Roman" w:hAnsi="Theinhardt Light" w:cs="Times New Roman"/>
          <w:sz w:val="24"/>
          <w:szCs w:val="24"/>
          <w:lang w:val="en-GB"/>
        </w:rPr>
        <w:t>Halprin</w:t>
      </w:r>
      <w:proofErr w:type="spellEnd"/>
      <w:r w:rsidRPr="005861BF">
        <w:rPr>
          <w:rFonts w:ascii="Theinhardt Light" w:eastAsia="Times New Roman" w:hAnsi="Theinhardt Light" w:cs="Times New Roman"/>
          <w:sz w:val="24"/>
          <w:szCs w:val="24"/>
          <w:lang w:val="en-GB"/>
        </w:rPr>
        <w:t xml:space="preserve">, Oskar Hansen, </w:t>
      </w:r>
      <w:proofErr w:type="spellStart"/>
      <w:r w:rsidRPr="005861BF">
        <w:rPr>
          <w:rFonts w:ascii="Theinhardt Light" w:eastAsia="Times New Roman" w:hAnsi="Theinhardt Light" w:cs="Times New Roman"/>
          <w:sz w:val="24"/>
          <w:szCs w:val="24"/>
          <w:lang w:val="en-GB"/>
        </w:rPr>
        <w:t>Asger</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Jorn</w:t>
      </w:r>
      <w:proofErr w:type="spellEnd"/>
      <w:r w:rsidRPr="005861BF">
        <w:rPr>
          <w:rFonts w:ascii="Theinhardt Light" w:eastAsia="Times New Roman" w:hAnsi="Theinhardt Light" w:cs="Times New Roman"/>
          <w:sz w:val="24"/>
          <w:szCs w:val="24"/>
          <w:lang w:val="en-GB"/>
        </w:rPr>
        <w:t xml:space="preserve">, and K.G. </w:t>
      </w:r>
      <w:proofErr w:type="spellStart"/>
      <w:r w:rsidRPr="005861BF">
        <w:rPr>
          <w:rFonts w:ascii="Theinhardt Light" w:eastAsia="Times New Roman" w:hAnsi="Theinhardt Light" w:cs="Times New Roman"/>
          <w:sz w:val="24"/>
          <w:szCs w:val="24"/>
          <w:lang w:val="en-GB"/>
        </w:rPr>
        <w:t>Subramanyan</w:t>
      </w:r>
      <w:proofErr w:type="spellEnd"/>
      <w:r w:rsidRPr="005861BF">
        <w:rPr>
          <w:rFonts w:ascii="Theinhardt Light" w:eastAsia="Times New Roman" w:hAnsi="Theinhardt Light" w:cs="Times New Roman"/>
          <w:sz w:val="24"/>
          <w:szCs w:val="24"/>
          <w:lang w:val="en-GB"/>
        </w:rPr>
        <w:t>.</w:t>
      </w:r>
    </w:p>
    <w:p w14:paraId="5595B302" w14:textId="63AD92FF" w:rsidR="005861BF" w:rsidRPr="005861BF" w:rsidRDefault="005861BF" w:rsidP="005861BF">
      <w:pPr>
        <w:suppressAutoHyphens/>
        <w:spacing w:after="120"/>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sz w:val="24"/>
          <w:szCs w:val="24"/>
          <w:lang w:val="en-GB"/>
        </w:rPr>
        <w:lastRenderedPageBreak/>
        <w:t xml:space="preserve">Helena </w:t>
      </w:r>
      <w:proofErr w:type="spellStart"/>
      <w:r w:rsidRPr="005861BF">
        <w:rPr>
          <w:rFonts w:ascii="Theinhardt Light" w:eastAsia="Times New Roman" w:hAnsi="Theinhardt Light" w:cs="Times New Roman"/>
          <w:sz w:val="24"/>
          <w:szCs w:val="24"/>
          <w:lang w:val="en-GB"/>
        </w:rPr>
        <w:t>Czernecka</w:t>
      </w:r>
      <w:proofErr w:type="spellEnd"/>
      <w:r w:rsidRPr="005861BF">
        <w:rPr>
          <w:rFonts w:ascii="Theinhardt Light" w:eastAsia="Times New Roman" w:hAnsi="Theinhardt Light" w:cs="Times New Roman"/>
          <w:sz w:val="24"/>
          <w:szCs w:val="24"/>
          <w:lang w:val="en-GB"/>
        </w:rPr>
        <w:t>, curator of the programme, added: “The boxes contain a ‘dormant’ exhibition which can materialize at any time. The format of exercises, tasks and tools enclosed in a box also alludes to the work of Marcel Duchamp and his travelling exhibition-in-a-suitcase, as well as ‘</w:t>
      </w:r>
      <w:proofErr w:type="spellStart"/>
      <w:r w:rsidRPr="005861BF">
        <w:rPr>
          <w:rFonts w:ascii="Theinhardt Light" w:eastAsia="Times New Roman" w:hAnsi="Theinhardt Light" w:cs="Times New Roman"/>
          <w:iCs/>
          <w:sz w:val="24"/>
          <w:szCs w:val="24"/>
          <w:lang w:val="en-GB"/>
        </w:rPr>
        <w:t>Fluxkits</w:t>
      </w:r>
      <w:proofErr w:type="spellEnd"/>
      <w:r w:rsidRPr="005861BF">
        <w:rPr>
          <w:rFonts w:ascii="Theinhardt Light" w:eastAsia="Times New Roman" w:hAnsi="Theinhardt Light" w:cs="Times New Roman"/>
          <w:sz w:val="24"/>
          <w:szCs w:val="24"/>
          <w:lang w:val="en-GB"/>
        </w:rPr>
        <w:t xml:space="preserve">’—boxes prepared by artists affiliated with the </w:t>
      </w:r>
      <w:proofErr w:type="spellStart"/>
      <w:r w:rsidRPr="005861BF">
        <w:rPr>
          <w:rFonts w:ascii="Theinhardt Light" w:eastAsia="Times New Roman" w:hAnsi="Theinhardt Light" w:cs="Times New Roman"/>
          <w:sz w:val="24"/>
          <w:szCs w:val="24"/>
          <w:lang w:val="en-GB"/>
        </w:rPr>
        <w:t>Fluxus</w:t>
      </w:r>
      <w:proofErr w:type="spellEnd"/>
      <w:r w:rsidRPr="005861BF">
        <w:rPr>
          <w:rFonts w:ascii="Theinhardt Light" w:eastAsia="Times New Roman" w:hAnsi="Theinhardt Light" w:cs="Times New Roman"/>
          <w:sz w:val="24"/>
          <w:szCs w:val="24"/>
          <w:lang w:val="en-GB"/>
        </w:rPr>
        <w:t xml:space="preserve"> movement.” </w:t>
      </w:r>
      <w:r w:rsidRPr="005861BF">
        <w:rPr>
          <w:rFonts w:ascii="Theinhardt Light" w:eastAsia="Times New Roman" w:hAnsi="Theinhardt Light" w:cs="Times New Roman"/>
          <w:i/>
          <w:sz w:val="24"/>
          <w:szCs w:val="24"/>
          <w:lang w:val="en-GB"/>
        </w:rPr>
        <w:t>Fundamental Forms</w:t>
      </w:r>
      <w:r w:rsidRPr="005861BF">
        <w:rPr>
          <w:rFonts w:ascii="Theinhardt Light" w:eastAsia="Times New Roman" w:hAnsi="Theinhardt Light" w:cs="Times New Roman"/>
          <w:sz w:val="24"/>
          <w:szCs w:val="24"/>
          <w:lang w:val="en-GB"/>
        </w:rPr>
        <w:t xml:space="preserve"> encourages pupils to look at their own school from a distance, to change the scale, to rediscover the interiors and surroundings of the building. </w:t>
      </w:r>
      <w:r w:rsidRPr="005861BF">
        <w:rPr>
          <w:rFonts w:ascii="Theinhardt Light" w:eastAsia="Times New Roman" w:hAnsi="Theinhardt Light" w:cs="Times New Roman"/>
          <w:b/>
          <w:sz w:val="24"/>
          <w:szCs w:val="24"/>
          <w:lang w:val="en-GB"/>
        </w:rPr>
        <w:t>The exhibition will arise within school spaces, in classrooms and corridors, gyms and playgrounds.</w:t>
      </w:r>
      <w:r w:rsidRPr="005861BF">
        <w:rPr>
          <w:rFonts w:ascii="Theinhardt Light" w:eastAsia="Times New Roman" w:hAnsi="Theinhardt Light" w:cs="Times New Roman"/>
          <w:sz w:val="24"/>
          <w:szCs w:val="24"/>
          <w:lang w:val="en-GB"/>
        </w:rPr>
        <w:t xml:space="preserve"> It can be executed numerous times and interpreted in various ways (in the selection of fragments, scale, colours, </w:t>
      </w:r>
      <w:proofErr w:type="spellStart"/>
      <w:r w:rsidRPr="005861BF">
        <w:rPr>
          <w:rFonts w:ascii="Theinhardt Light" w:eastAsia="Times New Roman" w:hAnsi="Theinhardt Light" w:cs="Times New Roman"/>
          <w:sz w:val="24"/>
          <w:szCs w:val="24"/>
          <w:lang w:val="en-GB"/>
        </w:rPr>
        <w:t>etc</w:t>
      </w:r>
      <w:proofErr w:type="spellEnd"/>
      <w:r w:rsidRPr="005861BF">
        <w:rPr>
          <w:rFonts w:ascii="Theinhardt Light" w:eastAsia="Times New Roman" w:hAnsi="Theinhardt Light" w:cs="Times New Roman"/>
          <w:sz w:val="24"/>
          <w:szCs w:val="24"/>
          <w:lang w:val="en-GB"/>
        </w:rPr>
        <w:t xml:space="preserve">). With </w:t>
      </w:r>
      <w:r w:rsidRPr="005861BF">
        <w:rPr>
          <w:rFonts w:ascii="Theinhardt Light" w:eastAsia="Times New Roman" w:hAnsi="Theinhardt Light" w:cs="Times New Roman"/>
          <w:i/>
          <w:iCs/>
          <w:sz w:val="24"/>
          <w:szCs w:val="24"/>
          <w:lang w:val="en-GB"/>
        </w:rPr>
        <w:t xml:space="preserve">Fundamental Forms, </w:t>
      </w:r>
      <w:r w:rsidRPr="005861BF">
        <w:rPr>
          <w:rFonts w:ascii="Theinhardt Light" w:eastAsia="Times New Roman" w:hAnsi="Theinhardt Light" w:cs="Times New Roman"/>
          <w:sz w:val="24"/>
          <w:szCs w:val="24"/>
          <w:lang w:val="en-GB"/>
        </w:rPr>
        <w:t>we pose the questions: What can we do with art? What can an exhibition be? Where and when does it begin and end? What can we learn from artists? And finally, what knowledge can we gain from contact with art? How to understand art, or enjoy the experience of not understanding it?</w:t>
      </w:r>
      <w:bookmarkStart w:id="0" w:name="_GoBack"/>
      <w:bookmarkEnd w:id="0"/>
    </w:p>
    <w:p w14:paraId="10CB4E41" w14:textId="77777777" w:rsidR="005861BF" w:rsidRPr="005861BF" w:rsidRDefault="005861BF" w:rsidP="00D909CB">
      <w:pPr>
        <w:suppressAutoHyphens/>
        <w:spacing w:line="240" w:lineRule="auto"/>
        <w:jc w:val="both"/>
        <w:rPr>
          <w:rFonts w:ascii="Theinhardt Light" w:hAnsi="Theinhardt Light"/>
          <w:sz w:val="24"/>
          <w:szCs w:val="24"/>
          <w:lang w:val="en-GB"/>
        </w:rPr>
      </w:pPr>
      <w:r w:rsidRPr="005861BF">
        <w:rPr>
          <w:rFonts w:ascii="Theinhardt Light" w:eastAsia="Times New Roman" w:hAnsi="Theinhardt Light" w:cs="Times New Roman"/>
          <w:b/>
          <w:sz w:val="24"/>
          <w:szCs w:val="24"/>
          <w:lang w:val="en-GB"/>
        </w:rPr>
        <w:t xml:space="preserve">Artists taking part in </w:t>
      </w:r>
      <w:r w:rsidRPr="005861BF">
        <w:rPr>
          <w:rFonts w:ascii="Theinhardt Light" w:eastAsia="Times New Roman" w:hAnsi="Theinhardt Light" w:cs="Times New Roman"/>
          <w:b/>
          <w:i/>
          <w:sz w:val="24"/>
          <w:szCs w:val="24"/>
          <w:lang w:val="en-GB"/>
        </w:rPr>
        <w:t>Fundamental Forms</w:t>
      </w:r>
      <w:r w:rsidRPr="005861BF">
        <w:rPr>
          <w:rFonts w:ascii="Theinhardt Light" w:eastAsia="Times New Roman" w:hAnsi="Theinhardt Light" w:cs="Times New Roman"/>
          <w:b/>
          <w:sz w:val="24"/>
          <w:szCs w:val="24"/>
          <w:lang w:val="en-GB"/>
        </w:rPr>
        <w:t>:</w:t>
      </w:r>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Paweł</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Althamer</w:t>
      </w:r>
      <w:proofErr w:type="spellEnd"/>
      <w:r w:rsidRPr="005861BF">
        <w:rPr>
          <w:rFonts w:ascii="Theinhardt Light" w:eastAsia="Times New Roman" w:hAnsi="Theinhardt Light" w:cs="Times New Roman"/>
          <w:sz w:val="24"/>
          <w:szCs w:val="24"/>
          <w:lang w:val="en-GB"/>
        </w:rPr>
        <w:t xml:space="preserve">, Kasper </w:t>
      </w:r>
      <w:proofErr w:type="spellStart"/>
      <w:r w:rsidRPr="005861BF">
        <w:rPr>
          <w:rFonts w:ascii="Theinhardt Light" w:eastAsia="Times New Roman" w:hAnsi="Theinhardt Light" w:cs="Times New Roman"/>
          <w:sz w:val="24"/>
          <w:szCs w:val="24"/>
          <w:lang w:val="en-GB"/>
        </w:rPr>
        <w:t>Bosmans</w:t>
      </w:r>
      <w:proofErr w:type="spellEnd"/>
      <w:r w:rsidRPr="005861BF">
        <w:rPr>
          <w:rFonts w:ascii="Theinhardt Light" w:eastAsia="Times New Roman" w:hAnsi="Theinhardt Light" w:cs="Times New Roman"/>
          <w:sz w:val="24"/>
          <w:szCs w:val="24"/>
          <w:lang w:val="en-GB"/>
        </w:rPr>
        <w:t xml:space="preserve">, Gabo </w:t>
      </w:r>
      <w:proofErr w:type="spellStart"/>
      <w:r w:rsidRPr="005861BF">
        <w:rPr>
          <w:rFonts w:ascii="Theinhardt Light" w:eastAsia="Times New Roman" w:hAnsi="Theinhardt Light" w:cs="Times New Roman"/>
          <w:sz w:val="24"/>
          <w:szCs w:val="24"/>
          <w:lang w:val="en-GB"/>
        </w:rPr>
        <w:t>Camnitzer</w:t>
      </w:r>
      <w:proofErr w:type="spellEnd"/>
      <w:r w:rsidRPr="005861BF">
        <w:rPr>
          <w:rFonts w:ascii="Theinhardt Light" w:eastAsia="Times New Roman" w:hAnsi="Theinhardt Light" w:cs="Times New Roman"/>
          <w:sz w:val="24"/>
          <w:szCs w:val="24"/>
          <w:lang w:val="en-GB"/>
        </w:rPr>
        <w:t xml:space="preserve">, Sharon Lockhart, </w:t>
      </w:r>
      <w:proofErr w:type="spellStart"/>
      <w:r w:rsidRPr="005861BF">
        <w:rPr>
          <w:rFonts w:ascii="Theinhardt Light" w:eastAsia="Times New Roman" w:hAnsi="Theinhardt Light" w:cs="Times New Roman"/>
          <w:sz w:val="24"/>
          <w:szCs w:val="24"/>
          <w:lang w:val="en-GB"/>
        </w:rPr>
        <w:t>Goshka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Macuga</w:t>
      </w:r>
      <w:proofErr w:type="spellEnd"/>
      <w:r w:rsidRPr="005861BF">
        <w:rPr>
          <w:rFonts w:ascii="Theinhardt Light" w:eastAsia="Times New Roman" w:hAnsi="Theinhardt Light" w:cs="Times New Roman"/>
          <w:sz w:val="24"/>
          <w:szCs w:val="24"/>
          <w:lang w:val="en-GB"/>
        </w:rPr>
        <w:t xml:space="preserve">, Olga </w:t>
      </w:r>
      <w:proofErr w:type="spellStart"/>
      <w:r w:rsidRPr="005861BF">
        <w:rPr>
          <w:rFonts w:ascii="Theinhardt Light" w:eastAsia="Times New Roman" w:hAnsi="Theinhardt Light" w:cs="Times New Roman"/>
          <w:sz w:val="24"/>
          <w:szCs w:val="24"/>
          <w:lang w:val="en-GB"/>
        </w:rPr>
        <w:t>Micińska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Mikołaj</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Moskal</w:t>
      </w:r>
      <w:proofErr w:type="spellEnd"/>
      <w:r w:rsidRPr="005861BF">
        <w:rPr>
          <w:rFonts w:ascii="Theinhardt Light" w:eastAsia="Times New Roman" w:hAnsi="Theinhardt Light" w:cs="Times New Roman"/>
          <w:sz w:val="24"/>
          <w:szCs w:val="24"/>
          <w:lang w:val="en-GB"/>
        </w:rPr>
        <w:t xml:space="preserve">, Ramona </w:t>
      </w:r>
      <w:proofErr w:type="spellStart"/>
      <w:r w:rsidRPr="005861BF">
        <w:rPr>
          <w:rFonts w:ascii="Theinhardt Light" w:eastAsia="Times New Roman" w:hAnsi="Theinhardt Light" w:cs="Times New Roman"/>
          <w:sz w:val="24"/>
          <w:szCs w:val="24"/>
          <w:lang w:val="en-GB"/>
        </w:rPr>
        <w:t>Nagabczyńska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Agnieszka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Polska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Katarzyna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Przezwańska</w:t>
      </w:r>
      <w:proofErr w:type="spellEnd"/>
      <w:r w:rsidRPr="005861BF">
        <w:rPr>
          <w:rFonts w:ascii="Theinhardt Light" w:eastAsia="Times New Roman" w:hAnsi="Theinhardt Light" w:cs="Times New Roman"/>
          <w:sz w:val="24"/>
          <w:szCs w:val="24"/>
          <w:lang w:val="en-GB"/>
        </w:rPr>
        <w:t>, Slavs and Tatars</w:t>
      </w:r>
    </w:p>
    <w:p w14:paraId="249DAF65" w14:textId="5DA2030D" w:rsidR="005861BF" w:rsidRPr="005861BF" w:rsidRDefault="005861BF" w:rsidP="00D909CB">
      <w:pPr>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Curatorial team:</w:t>
      </w:r>
      <w:r w:rsidRPr="005861BF">
        <w:rPr>
          <w:rFonts w:ascii="Theinhardt Light" w:eastAsia="Times New Roman" w:hAnsi="Theinhardt Light" w:cs="Times New Roman"/>
          <w:sz w:val="24"/>
          <w:szCs w:val="24"/>
          <w:lang w:val="en-GB"/>
        </w:rPr>
        <w:t xml:space="preserve"> Sebastian </w:t>
      </w:r>
      <w:proofErr w:type="spellStart"/>
      <w:r w:rsidRPr="005861BF">
        <w:rPr>
          <w:rFonts w:ascii="Theinhardt Light" w:eastAsia="Times New Roman" w:hAnsi="Theinhardt Light" w:cs="Times New Roman"/>
          <w:sz w:val="24"/>
          <w:szCs w:val="24"/>
          <w:lang w:val="en-GB"/>
        </w:rPr>
        <w:t>Cichocki</w:t>
      </w:r>
      <w:proofErr w:type="spellEnd"/>
      <w:r w:rsidRPr="005861BF">
        <w:rPr>
          <w:rFonts w:ascii="Theinhardt Light" w:eastAsia="Times New Roman" w:hAnsi="Theinhardt Light" w:cs="Times New Roman"/>
          <w:sz w:val="24"/>
          <w:szCs w:val="24"/>
          <w:lang w:val="en-GB"/>
        </w:rPr>
        <w:t xml:space="preserve">, Helena </w:t>
      </w:r>
      <w:proofErr w:type="spellStart"/>
      <w:r w:rsidRPr="005861BF">
        <w:rPr>
          <w:rFonts w:ascii="Theinhardt Light" w:eastAsia="Times New Roman" w:hAnsi="Theinhardt Light" w:cs="Times New Roman"/>
          <w:sz w:val="24"/>
          <w:szCs w:val="24"/>
          <w:lang w:val="en-GB"/>
        </w:rPr>
        <w:t>Czernecka</w:t>
      </w:r>
      <w:proofErr w:type="spellEnd"/>
    </w:p>
    <w:p w14:paraId="442A6CE3" w14:textId="77777777" w:rsidR="005861BF" w:rsidRPr="005861BF" w:rsidRDefault="005861BF" w:rsidP="00D909CB">
      <w:pPr>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Box design:</w:t>
      </w:r>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Michał</w:t>
      </w:r>
      <w:proofErr w:type="spellEnd"/>
      <w:r w:rsidRPr="005861BF">
        <w:rPr>
          <w:rFonts w:ascii="Theinhardt Light" w:eastAsia="Times New Roman" w:hAnsi="Theinhardt Light" w:cs="Times New Roman"/>
          <w:sz w:val="24"/>
          <w:szCs w:val="24"/>
          <w:lang w:val="en-GB"/>
        </w:rPr>
        <w:t xml:space="preserve"> Sikorski TŁO</w:t>
      </w:r>
    </w:p>
    <w:p w14:paraId="2AA00C12" w14:textId="77777777" w:rsidR="005861BF" w:rsidRPr="005861BF" w:rsidRDefault="005861BF" w:rsidP="00D909CB">
      <w:pPr>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Graphic designs:</w:t>
      </w:r>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Zofia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Kofta</w:t>
      </w:r>
      <w:proofErr w:type="spellEnd"/>
    </w:p>
    <w:p w14:paraId="58FBCC94" w14:textId="77777777" w:rsidR="005861BF" w:rsidRPr="005861BF" w:rsidRDefault="005861BF" w:rsidP="00D909CB">
      <w:pPr>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Choreographic cooperation:</w:t>
      </w:r>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Alicja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Czyczel</w:t>
      </w:r>
      <w:proofErr w:type="spellEnd"/>
    </w:p>
    <w:p w14:paraId="4EE432E4" w14:textId="77777777" w:rsidR="005861BF" w:rsidRPr="005861BF" w:rsidRDefault="005861BF" w:rsidP="00D909CB">
      <w:pPr>
        <w:shd w:val="clear" w:color="auto" w:fill="FFFFFF"/>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Production team:</w:t>
      </w:r>
      <w:r w:rsidRPr="005861BF">
        <w:rPr>
          <w:rFonts w:ascii="Theinhardt Light" w:eastAsia="Times New Roman" w:hAnsi="Theinhardt Light" w:cs="Times New Roman"/>
          <w:sz w:val="24"/>
          <w:szCs w:val="24"/>
          <w:lang w:val="en-GB"/>
        </w:rPr>
        <w:t xml:space="preserve"> Maja </w:t>
      </w:r>
      <w:proofErr w:type="spellStart"/>
      <w:r w:rsidRPr="005861BF">
        <w:rPr>
          <w:rFonts w:ascii="Theinhardt Light" w:eastAsia="Times New Roman" w:hAnsi="Theinhardt Light" w:cs="Times New Roman"/>
          <w:sz w:val="24"/>
          <w:szCs w:val="24"/>
          <w:lang w:val="en-GB"/>
        </w:rPr>
        <w:t>Raczyńska-Kaczmarek</w:t>
      </w:r>
      <w:proofErr w:type="spellEnd"/>
      <w:r w:rsidRPr="005861BF">
        <w:rPr>
          <w:rFonts w:ascii="Theinhardt Light" w:eastAsia="Times New Roman" w:hAnsi="Theinhardt Light" w:cs="Times New Roman"/>
          <w:sz w:val="24"/>
          <w:szCs w:val="24"/>
          <w:lang w:val="en-GB"/>
        </w:rPr>
        <w:t xml:space="preserve">, Marta </w:t>
      </w:r>
      <w:proofErr w:type="spellStart"/>
      <w:r w:rsidRPr="005861BF">
        <w:rPr>
          <w:rFonts w:ascii="Theinhardt Light" w:eastAsia="Times New Roman" w:hAnsi="Theinhardt Light" w:cs="Times New Roman"/>
          <w:sz w:val="24"/>
          <w:szCs w:val="24"/>
          <w:lang w:val="en-GB"/>
        </w:rPr>
        <w:t>Wójcicka</w:t>
      </w:r>
      <w:proofErr w:type="spellEnd"/>
    </w:p>
    <w:p w14:paraId="2381289A" w14:textId="77777777" w:rsidR="005861BF" w:rsidRPr="005861BF" w:rsidRDefault="005861BF" w:rsidP="00D909CB">
      <w:pPr>
        <w:shd w:val="clear" w:color="auto" w:fill="FFFFFF"/>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Conception and coordination of educational process:</w:t>
      </w:r>
      <w:r w:rsidRPr="005861BF">
        <w:rPr>
          <w:rFonts w:ascii="Theinhardt Light" w:eastAsia="Times New Roman" w:hAnsi="Theinhardt Light" w:cs="Times New Roman"/>
          <w:sz w:val="24"/>
          <w:szCs w:val="24"/>
          <w:lang w:val="en-GB"/>
        </w:rPr>
        <w:t xml:space="preserve"> Anna </w:t>
      </w:r>
      <w:proofErr w:type="spellStart"/>
      <w:r w:rsidRPr="005861BF">
        <w:rPr>
          <w:rFonts w:ascii="Theinhardt Light" w:eastAsia="Times New Roman" w:hAnsi="Theinhardt Light" w:cs="Times New Roman"/>
          <w:sz w:val="24"/>
          <w:szCs w:val="24"/>
          <w:lang w:val="en-GB"/>
        </w:rPr>
        <w:t>Grajewska</w:t>
      </w:r>
      <w:proofErr w:type="spellEnd"/>
      <w:r w:rsidRPr="005861BF">
        <w:rPr>
          <w:rFonts w:ascii="Theinhardt Light" w:eastAsia="Times New Roman" w:hAnsi="Theinhardt Light" w:cs="Times New Roman"/>
          <w:sz w:val="24"/>
          <w:szCs w:val="24"/>
          <w:lang w:val="en-GB"/>
        </w:rPr>
        <w:t xml:space="preserve">, Marta </w:t>
      </w:r>
      <w:proofErr w:type="spellStart"/>
      <w:r w:rsidRPr="005861BF">
        <w:rPr>
          <w:rFonts w:ascii="Theinhardt Light" w:eastAsia="Times New Roman" w:hAnsi="Theinhardt Light" w:cs="Times New Roman"/>
          <w:sz w:val="24"/>
          <w:szCs w:val="24"/>
          <w:lang w:val="en-GB"/>
        </w:rPr>
        <w:t>Przybył</w:t>
      </w:r>
      <w:proofErr w:type="spellEnd"/>
    </w:p>
    <w:p w14:paraId="2CFF5245" w14:textId="77777777" w:rsidR="005861BF" w:rsidRPr="005861BF" w:rsidRDefault="005861BF" w:rsidP="00D909CB">
      <w:pPr>
        <w:shd w:val="clear" w:color="auto" w:fill="FFFFFF"/>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Educators:</w:t>
      </w:r>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Alicja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Czyczel</w:t>
      </w:r>
      <w:proofErr w:type="spellEnd"/>
      <w:r w:rsidRPr="005861BF">
        <w:rPr>
          <w:rFonts w:ascii="Theinhardt Light" w:eastAsia="Times New Roman" w:hAnsi="Theinhardt Light" w:cs="Times New Roman"/>
          <w:sz w:val="24"/>
          <w:szCs w:val="24"/>
          <w:lang w:val="en-GB"/>
        </w:rPr>
        <w:t xml:space="preserve">, Aleksandra </w:t>
      </w:r>
      <w:proofErr w:type="spellStart"/>
      <w:r w:rsidRPr="005861BF">
        <w:rPr>
          <w:rFonts w:ascii="Theinhardt Light" w:eastAsia="Times New Roman" w:hAnsi="Theinhardt Light" w:cs="Times New Roman"/>
          <w:sz w:val="24"/>
          <w:szCs w:val="24"/>
          <w:lang w:val="en-GB"/>
        </w:rPr>
        <w:t>Górecka</w:t>
      </w:r>
      <w:proofErr w:type="spellEnd"/>
      <w:r w:rsidRPr="005861BF">
        <w:rPr>
          <w:rFonts w:ascii="Theinhardt Light" w:eastAsia="Times New Roman" w:hAnsi="Theinhardt Light" w:cs="Times New Roman"/>
          <w:sz w:val="24"/>
          <w:szCs w:val="24"/>
          <w:lang w:val="en-GB"/>
        </w:rPr>
        <w:t xml:space="preserve">, Magda </w:t>
      </w:r>
      <w:proofErr w:type="spellStart"/>
      <w:r w:rsidRPr="005861BF">
        <w:rPr>
          <w:rFonts w:ascii="Theinhardt Light" w:eastAsia="Times New Roman" w:hAnsi="Theinhardt Light" w:cs="Times New Roman"/>
          <w:sz w:val="24"/>
          <w:szCs w:val="24"/>
          <w:lang w:val="en-GB"/>
        </w:rPr>
        <w:t>Kreis</w:t>
      </w:r>
      <w:proofErr w:type="spellEnd"/>
      <w:r w:rsidRPr="005861BF">
        <w:rPr>
          <w:rFonts w:ascii="Theinhardt Light" w:eastAsia="Times New Roman" w:hAnsi="Theinhardt Light" w:cs="Times New Roman"/>
          <w:sz w:val="24"/>
          <w:szCs w:val="24"/>
          <w:lang w:val="en-GB"/>
        </w:rPr>
        <w:t xml:space="preserve">, Marta </w:t>
      </w:r>
      <w:proofErr w:type="spellStart"/>
      <w:r w:rsidRPr="005861BF">
        <w:rPr>
          <w:rFonts w:ascii="Theinhardt Light" w:eastAsia="Times New Roman" w:hAnsi="Theinhardt Light" w:cs="Times New Roman"/>
          <w:sz w:val="24"/>
          <w:szCs w:val="24"/>
          <w:lang w:val="en-GB"/>
        </w:rPr>
        <w:t>Maliszewska</w:t>
      </w:r>
      <w:proofErr w:type="spellEnd"/>
      <w:r w:rsidRPr="005861BF">
        <w:rPr>
          <w:rFonts w:ascii="Theinhardt Light" w:eastAsia="Times New Roman" w:hAnsi="Theinhardt Light" w:cs="Times New Roman"/>
          <w:sz w:val="24"/>
          <w:szCs w:val="24"/>
          <w:lang w:val="en-GB"/>
        </w:rPr>
        <w:t xml:space="preserve">, Barbara </w:t>
      </w:r>
      <w:proofErr w:type="spellStart"/>
      <w:r w:rsidRPr="005861BF">
        <w:rPr>
          <w:rFonts w:ascii="Theinhardt Light" w:eastAsia="Times New Roman" w:hAnsi="Theinhardt Light" w:cs="Times New Roman"/>
          <w:sz w:val="24"/>
          <w:szCs w:val="24"/>
          <w:lang w:val="en-GB"/>
        </w:rPr>
        <w:t>Mołas</w:t>
      </w:r>
      <w:proofErr w:type="spellEnd"/>
      <w:r w:rsidRPr="005861BF">
        <w:rPr>
          <w:rFonts w:ascii="Theinhardt Light" w:eastAsia="Times New Roman" w:hAnsi="Theinhardt Light" w:cs="Times New Roman"/>
          <w:sz w:val="24"/>
          <w:szCs w:val="24"/>
          <w:lang w:val="en-GB"/>
        </w:rPr>
        <w:t xml:space="preserve">, Marta </w:t>
      </w:r>
      <w:proofErr w:type="spellStart"/>
      <w:r w:rsidRPr="005861BF">
        <w:rPr>
          <w:rFonts w:ascii="Theinhardt Light" w:eastAsia="Times New Roman" w:hAnsi="Theinhardt Light" w:cs="Times New Roman"/>
          <w:sz w:val="24"/>
          <w:szCs w:val="24"/>
          <w:lang w:val="en-GB"/>
        </w:rPr>
        <w:t>Przybył</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Zofia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Świąder</w:t>
      </w:r>
      <w:proofErr w:type="spellEnd"/>
      <w:r w:rsidRPr="005861BF">
        <w:rPr>
          <w:rFonts w:ascii="Theinhardt Light" w:eastAsia="Times New Roman" w:hAnsi="Theinhardt Light" w:cs="Times New Roman"/>
          <w:sz w:val="24"/>
          <w:szCs w:val="24"/>
          <w:lang w:val="en-GB"/>
        </w:rPr>
        <w:t xml:space="preserve">, Marta </w:t>
      </w:r>
      <w:proofErr w:type="spellStart"/>
      <w:r w:rsidRPr="005861BF">
        <w:rPr>
          <w:rFonts w:ascii="Theinhardt Light" w:eastAsia="Times New Roman" w:hAnsi="Theinhardt Light" w:cs="Times New Roman"/>
          <w:sz w:val="24"/>
          <w:szCs w:val="24"/>
          <w:lang w:val="en-GB"/>
        </w:rPr>
        <w:t>Węglińska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Kobalt</w:t>
      </w:r>
      <w:proofErr w:type="spellEnd"/>
      <w:r w:rsidRPr="005861BF">
        <w:rPr>
          <w:rFonts w:ascii="Theinhardt Light" w:eastAsia="Times New Roman" w:hAnsi="Theinhardt Light" w:cs="Times New Roman"/>
          <w:sz w:val="24"/>
          <w:szCs w:val="24"/>
          <w:lang w:val="en-GB"/>
        </w:rPr>
        <w:t xml:space="preserve"> Migrating Platform), </w:t>
      </w:r>
      <w:proofErr w:type="spellStart"/>
      <w:r w:rsidRPr="005861BF">
        <w:rPr>
          <w:rFonts w:ascii="Theinhardt Light" w:eastAsia="Times New Roman" w:hAnsi="Theinhardt Light" w:cs="Times New Roman"/>
          <w:sz w:val="24"/>
          <w:szCs w:val="24"/>
          <w:lang w:val="en-GB"/>
        </w:rPr>
        <w:t>Katarzyna</w:t>
      </w:r>
      <w:proofErr w:type="spellEnd"/>
      <w:r w:rsidRPr="005861BF">
        <w:rPr>
          <w:rFonts w:ascii="Theinhardt Light" w:eastAsia="Times New Roman" w:hAnsi="Theinhardt Light" w:cs="Times New Roman"/>
          <w:sz w:val="24"/>
          <w:szCs w:val="24"/>
          <w:lang w:val="en-GB"/>
        </w:rPr>
        <w:t xml:space="preserve"> Witt, Hanna </w:t>
      </w:r>
      <w:proofErr w:type="spellStart"/>
      <w:r w:rsidRPr="005861BF">
        <w:rPr>
          <w:rFonts w:ascii="Theinhardt Light" w:eastAsia="Times New Roman" w:hAnsi="Theinhardt Light" w:cs="Times New Roman"/>
          <w:sz w:val="24"/>
          <w:szCs w:val="24"/>
          <w:lang w:val="en-GB"/>
        </w:rPr>
        <w:t>Zwierzchowska</w:t>
      </w:r>
      <w:proofErr w:type="spellEnd"/>
    </w:p>
    <w:p w14:paraId="5A03EEFE" w14:textId="77777777" w:rsidR="005861BF" w:rsidRPr="005861BF" w:rsidRDefault="005861BF" w:rsidP="00D909CB">
      <w:pPr>
        <w:shd w:val="clear" w:color="auto" w:fill="FFFFFF"/>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Teachers:</w:t>
      </w:r>
      <w:r w:rsidRPr="005861BF">
        <w:rPr>
          <w:rFonts w:ascii="Theinhardt Light" w:eastAsia="Times New Roman" w:hAnsi="Theinhardt Light" w:cs="Times New Roman"/>
          <w:sz w:val="24"/>
          <w:szCs w:val="24"/>
          <w:lang w:val="en-GB"/>
        </w:rPr>
        <w:t xml:space="preserve"> Anna </w:t>
      </w:r>
      <w:proofErr w:type="spellStart"/>
      <w:r w:rsidRPr="005861BF">
        <w:rPr>
          <w:rFonts w:ascii="Theinhardt Light" w:eastAsia="Times New Roman" w:hAnsi="Theinhardt Light" w:cs="Times New Roman"/>
          <w:sz w:val="24"/>
          <w:szCs w:val="24"/>
          <w:lang w:val="en-GB"/>
        </w:rPr>
        <w:t>Broda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Zyta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Czechowska</w:t>
      </w:r>
      <w:proofErr w:type="spellEnd"/>
      <w:r w:rsidRPr="005861BF">
        <w:rPr>
          <w:rFonts w:ascii="Theinhardt Light" w:eastAsia="Times New Roman" w:hAnsi="Theinhardt Light" w:cs="Times New Roman"/>
          <w:sz w:val="24"/>
          <w:szCs w:val="24"/>
          <w:lang w:val="en-GB"/>
        </w:rPr>
        <w:t xml:space="preserve">, Joanna </w:t>
      </w:r>
      <w:proofErr w:type="spellStart"/>
      <w:r w:rsidRPr="005861BF">
        <w:rPr>
          <w:rFonts w:ascii="Theinhardt Light" w:eastAsia="Times New Roman" w:hAnsi="Theinhardt Light" w:cs="Times New Roman"/>
          <w:sz w:val="24"/>
          <w:szCs w:val="24"/>
          <w:lang w:val="en-GB"/>
        </w:rPr>
        <w:t>Konieczna</w:t>
      </w:r>
      <w:proofErr w:type="spellEnd"/>
      <w:r w:rsidRPr="005861BF">
        <w:rPr>
          <w:rFonts w:ascii="Theinhardt Light" w:eastAsia="Times New Roman" w:hAnsi="Theinhardt Light" w:cs="Times New Roman"/>
          <w:sz w:val="24"/>
          <w:szCs w:val="24"/>
          <w:lang w:val="en-GB"/>
        </w:rPr>
        <w:t xml:space="preserve">, Magdalena </w:t>
      </w:r>
      <w:proofErr w:type="spellStart"/>
      <w:r w:rsidRPr="005861BF">
        <w:rPr>
          <w:rFonts w:ascii="Theinhardt Light" w:eastAsia="Times New Roman" w:hAnsi="Theinhardt Light" w:cs="Times New Roman"/>
          <w:sz w:val="24"/>
          <w:szCs w:val="24"/>
          <w:lang w:val="en-GB"/>
        </w:rPr>
        <w:t>Kotara-Marmur</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Urszula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Leks</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Maryla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Moździer</w:t>
      </w:r>
      <w:proofErr w:type="spellEnd"/>
      <w:r w:rsidRPr="005861BF">
        <w:rPr>
          <w:rFonts w:ascii="Theinhardt Light" w:eastAsia="Times New Roman" w:hAnsi="Theinhardt Light" w:cs="Times New Roman"/>
          <w:sz w:val="24"/>
          <w:szCs w:val="24"/>
          <w:lang w:val="en-GB"/>
        </w:rPr>
        <w:t xml:space="preserve">, Paulina </w:t>
      </w:r>
      <w:proofErr w:type="spellStart"/>
      <w:r w:rsidRPr="005861BF">
        <w:rPr>
          <w:rFonts w:ascii="Theinhardt Light" w:eastAsia="Times New Roman" w:hAnsi="Theinhardt Light" w:cs="Times New Roman"/>
          <w:sz w:val="24"/>
          <w:szCs w:val="24"/>
          <w:lang w:val="en-GB"/>
        </w:rPr>
        <w:t>Pruszyńska</w:t>
      </w:r>
      <w:proofErr w:type="spellEnd"/>
      <w:r w:rsidRPr="005861BF">
        <w:rPr>
          <w:rFonts w:ascii="Theinhardt Light" w:eastAsia="Times New Roman" w:hAnsi="Theinhardt Light" w:cs="Times New Roman"/>
          <w:sz w:val="24"/>
          <w:szCs w:val="24"/>
          <w:lang w:val="en-GB"/>
        </w:rPr>
        <w:t xml:space="preserve">, Edyta </w:t>
      </w:r>
      <w:proofErr w:type="spellStart"/>
      <w:r w:rsidRPr="005861BF">
        <w:rPr>
          <w:rFonts w:ascii="Theinhardt Light" w:eastAsia="Times New Roman" w:hAnsi="Theinhardt Light" w:cs="Times New Roman"/>
          <w:sz w:val="24"/>
          <w:szCs w:val="24"/>
          <w:lang w:val="en-GB"/>
        </w:rPr>
        <w:t>Rusak</w:t>
      </w:r>
      <w:proofErr w:type="spellEnd"/>
      <w:r w:rsidRPr="005861BF">
        <w:rPr>
          <w:rFonts w:ascii="Theinhardt Light" w:eastAsia="Times New Roman" w:hAnsi="Theinhardt Light" w:cs="Times New Roman"/>
          <w:sz w:val="24"/>
          <w:szCs w:val="24"/>
          <w:lang w:val="en-GB"/>
        </w:rPr>
        <w:t xml:space="preserve">, Damian </w:t>
      </w:r>
      <w:proofErr w:type="spellStart"/>
      <w:r w:rsidRPr="005861BF">
        <w:rPr>
          <w:rFonts w:ascii="Theinhardt Light" w:eastAsia="Times New Roman" w:hAnsi="Theinhardt Light" w:cs="Times New Roman"/>
          <w:sz w:val="24"/>
          <w:szCs w:val="24"/>
          <w:lang w:val="en-GB"/>
        </w:rPr>
        <w:t>Sołtykiewicz</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Iwona</w:t>
      </w:r>
      <w:proofErr w:type="spellEnd"/>
      <w:r w:rsidRPr="005861BF">
        <w:rPr>
          <w:rFonts w:ascii="Theinhardt Light" w:eastAsia="Times New Roman" w:hAnsi="Theinhardt Light" w:cs="Times New Roman"/>
          <w:sz w:val="24"/>
          <w:szCs w:val="24"/>
          <w:lang w:val="en-GB"/>
        </w:rPr>
        <w:t xml:space="preserve"> </w:t>
      </w:r>
      <w:proofErr w:type="spellStart"/>
      <w:r w:rsidRPr="005861BF">
        <w:rPr>
          <w:rFonts w:ascii="Theinhardt Light" w:eastAsia="Times New Roman" w:hAnsi="Theinhardt Light" w:cs="Times New Roman"/>
          <w:sz w:val="24"/>
          <w:szCs w:val="24"/>
          <w:lang w:val="en-GB"/>
        </w:rPr>
        <w:t>Węglowska</w:t>
      </w:r>
      <w:proofErr w:type="spellEnd"/>
    </w:p>
    <w:p w14:paraId="63F45C84" w14:textId="77777777" w:rsidR="005861BF" w:rsidRPr="005861BF" w:rsidRDefault="005861BF" w:rsidP="00D909CB">
      <w:pPr>
        <w:shd w:val="clear" w:color="auto" w:fill="FFFFFF"/>
        <w:suppressAutoHyphens/>
        <w:spacing w:line="240" w:lineRule="auto"/>
        <w:jc w:val="both"/>
        <w:rPr>
          <w:rFonts w:ascii="Theinhardt Light" w:eastAsia="Times New Roman" w:hAnsi="Theinhardt Light" w:cs="Times New Roman"/>
          <w:sz w:val="24"/>
          <w:szCs w:val="24"/>
          <w:lang w:val="en-GB"/>
        </w:rPr>
      </w:pPr>
      <w:r w:rsidRPr="005861BF">
        <w:rPr>
          <w:rFonts w:ascii="Theinhardt Light" w:eastAsia="Times New Roman" w:hAnsi="Theinhardt Light" w:cs="Times New Roman"/>
          <w:b/>
          <w:sz w:val="24"/>
          <w:szCs w:val="24"/>
          <w:lang w:val="en-GB"/>
        </w:rPr>
        <w:t>Schools:</w:t>
      </w:r>
      <w:r w:rsidRPr="005861BF">
        <w:rPr>
          <w:rFonts w:ascii="Theinhardt Light" w:eastAsia="Times New Roman" w:hAnsi="Theinhardt Light" w:cs="Times New Roman"/>
          <w:sz w:val="24"/>
          <w:szCs w:val="24"/>
          <w:lang w:val="en-GB"/>
        </w:rPr>
        <w:t xml:space="preserve"> </w:t>
      </w:r>
      <w:r w:rsidRPr="005861BF">
        <w:rPr>
          <w:rFonts w:ascii="Theinhardt Light" w:hAnsi="Theinhardt Light" w:cs="Times New Roman"/>
          <w:sz w:val="24"/>
          <w:szCs w:val="24"/>
          <w:lang w:val="en-GB"/>
        </w:rPr>
        <w:t xml:space="preserve">Special Schools Group, </w:t>
      </w:r>
      <w:proofErr w:type="spellStart"/>
      <w:r w:rsidRPr="005861BF">
        <w:rPr>
          <w:rFonts w:ascii="Theinhardt Light" w:hAnsi="Theinhardt Light" w:cs="Times New Roman"/>
          <w:sz w:val="24"/>
          <w:szCs w:val="24"/>
          <w:lang w:val="en-GB"/>
        </w:rPr>
        <w:t>Kowanówko</w:t>
      </w:r>
      <w:proofErr w:type="spellEnd"/>
      <w:r w:rsidRPr="005861BF">
        <w:rPr>
          <w:rFonts w:ascii="Theinhardt Light" w:hAnsi="Theinhardt Light" w:cs="Times New Roman"/>
          <w:sz w:val="24"/>
          <w:szCs w:val="24"/>
          <w:lang w:val="en-GB"/>
        </w:rPr>
        <w:t xml:space="preserve">; Primary School, </w:t>
      </w:r>
      <w:proofErr w:type="spellStart"/>
      <w:r w:rsidRPr="005861BF">
        <w:rPr>
          <w:rFonts w:ascii="Theinhardt Light" w:hAnsi="Theinhardt Light" w:cs="Times New Roman"/>
          <w:sz w:val="24"/>
          <w:szCs w:val="24"/>
          <w:lang w:val="en-GB"/>
        </w:rPr>
        <w:t>Pogorzałki</w:t>
      </w:r>
      <w:proofErr w:type="spellEnd"/>
      <w:r w:rsidRPr="005861BF">
        <w:rPr>
          <w:rFonts w:ascii="Theinhardt Light" w:hAnsi="Theinhardt Light" w:cs="Times New Roman"/>
          <w:sz w:val="24"/>
          <w:szCs w:val="24"/>
          <w:lang w:val="en-GB"/>
        </w:rPr>
        <w:t xml:space="preserve">; Primary School, </w:t>
      </w:r>
      <w:proofErr w:type="spellStart"/>
      <w:r w:rsidRPr="005861BF">
        <w:rPr>
          <w:rFonts w:ascii="Theinhardt Light" w:hAnsi="Theinhardt Light" w:cs="Times New Roman"/>
          <w:sz w:val="24"/>
          <w:szCs w:val="24"/>
          <w:lang w:val="en-GB"/>
        </w:rPr>
        <w:t>Rozdrażew</w:t>
      </w:r>
      <w:proofErr w:type="spellEnd"/>
      <w:r w:rsidRPr="005861BF">
        <w:rPr>
          <w:rFonts w:ascii="Theinhardt Light" w:hAnsi="Theinhardt Light" w:cs="Times New Roman"/>
          <w:sz w:val="24"/>
          <w:szCs w:val="24"/>
          <w:lang w:val="en-GB"/>
        </w:rPr>
        <w:t xml:space="preserve">; Primary School no. 380, Warsaw; Primary School no. 143, Warsaw; Primary School, </w:t>
      </w:r>
      <w:proofErr w:type="spellStart"/>
      <w:r w:rsidRPr="005861BF">
        <w:rPr>
          <w:rFonts w:ascii="Theinhardt Light" w:hAnsi="Theinhardt Light" w:cs="Times New Roman"/>
          <w:sz w:val="24"/>
          <w:szCs w:val="24"/>
          <w:lang w:val="en-GB"/>
        </w:rPr>
        <w:t>Zakręt</w:t>
      </w:r>
      <w:proofErr w:type="spellEnd"/>
      <w:r w:rsidRPr="005861BF">
        <w:rPr>
          <w:rFonts w:ascii="Theinhardt Light" w:hAnsi="Theinhardt Light" w:cs="Times New Roman"/>
          <w:sz w:val="24"/>
          <w:szCs w:val="24"/>
          <w:lang w:val="en-GB"/>
        </w:rPr>
        <w:t xml:space="preserve">; Integration Schools Group no. 62, Warsaw; Primary School no. 351, Warsaw; Social Primary School, </w:t>
      </w:r>
      <w:proofErr w:type="spellStart"/>
      <w:r w:rsidRPr="005861BF">
        <w:rPr>
          <w:rFonts w:ascii="Theinhardt Light" w:hAnsi="Theinhardt Light" w:cs="Times New Roman"/>
          <w:sz w:val="24"/>
          <w:szCs w:val="24"/>
          <w:lang w:val="en-GB"/>
        </w:rPr>
        <w:t>Szczekociny</w:t>
      </w:r>
      <w:proofErr w:type="spellEnd"/>
    </w:p>
    <w:p w14:paraId="2B70F4FB" w14:textId="77777777" w:rsidR="005861BF" w:rsidRDefault="005861BF" w:rsidP="00F06DFC">
      <w:pPr>
        <w:spacing w:line="360" w:lineRule="auto"/>
        <w:jc w:val="both"/>
        <w:rPr>
          <w:rFonts w:ascii="Theinhardt Light" w:eastAsia="Times New Roman" w:hAnsi="Theinhardt Light" w:cs="Times New Roman"/>
          <w:sz w:val="24"/>
          <w:szCs w:val="24"/>
        </w:rPr>
      </w:pPr>
    </w:p>
    <w:p w14:paraId="0000001A" w14:textId="6A13641E" w:rsidR="005F000C" w:rsidRPr="00C1619C" w:rsidRDefault="005861BF" w:rsidP="00F06DFC">
      <w:pPr>
        <w:spacing w:line="360" w:lineRule="auto"/>
        <w:jc w:val="both"/>
        <w:rPr>
          <w:rFonts w:ascii="Theinhardt Light" w:eastAsia="Times New Roman" w:hAnsi="Theinhardt Light" w:cs="Times New Roman"/>
          <w:sz w:val="24"/>
          <w:szCs w:val="24"/>
        </w:rPr>
      </w:pPr>
      <w:proofErr w:type="spellStart"/>
      <w:r>
        <w:rPr>
          <w:rFonts w:ascii="Theinhardt Light" w:eastAsia="Times New Roman" w:hAnsi="Theinhardt Light" w:cs="Times New Roman"/>
          <w:sz w:val="24"/>
          <w:szCs w:val="24"/>
        </w:rPr>
        <w:t>Contact</w:t>
      </w:r>
      <w:proofErr w:type="spellEnd"/>
      <w:r>
        <w:rPr>
          <w:rFonts w:ascii="Theinhardt Light" w:eastAsia="Times New Roman" w:hAnsi="Theinhardt Light" w:cs="Times New Roman"/>
          <w:sz w:val="24"/>
          <w:szCs w:val="24"/>
        </w:rPr>
        <w:t xml:space="preserve"> for </w:t>
      </w:r>
      <w:proofErr w:type="spellStart"/>
      <w:r>
        <w:rPr>
          <w:rFonts w:ascii="Theinhardt Light" w:eastAsia="Times New Roman" w:hAnsi="Theinhardt Light" w:cs="Times New Roman"/>
          <w:sz w:val="24"/>
          <w:szCs w:val="24"/>
        </w:rPr>
        <w:t>press</w:t>
      </w:r>
      <w:proofErr w:type="spellEnd"/>
      <w:r>
        <w:rPr>
          <w:rFonts w:ascii="Theinhardt Light" w:eastAsia="Times New Roman" w:hAnsi="Theinhardt Light" w:cs="Times New Roman"/>
          <w:sz w:val="24"/>
          <w:szCs w:val="24"/>
        </w:rPr>
        <w:t>:</w:t>
      </w:r>
    </w:p>
    <w:p w14:paraId="47C9F5ED" w14:textId="76FB1398" w:rsidR="00C1619C" w:rsidRDefault="00D909CB" w:rsidP="00F06DFC">
      <w:pPr>
        <w:spacing w:line="360" w:lineRule="auto"/>
        <w:jc w:val="both"/>
        <w:rPr>
          <w:rFonts w:ascii="Theinhardt Light" w:eastAsia="Times New Roman" w:hAnsi="Theinhardt Light" w:cs="Times New Roman"/>
          <w:sz w:val="24"/>
          <w:szCs w:val="24"/>
        </w:rPr>
      </w:pPr>
      <w:r w:rsidRPr="00D909CB">
        <w:rPr>
          <w:rFonts w:ascii="Theinhardt Light" w:eastAsia="Times New Roman" w:hAnsi="Theinhardt Light" w:cs="Times New Roman"/>
          <w:sz w:val="24"/>
          <w:szCs w:val="24"/>
        </w:rPr>
        <w:t>prasa@artmuseum.pl</w:t>
      </w:r>
    </w:p>
    <w:p w14:paraId="531FA33A" w14:textId="58A2A5DF" w:rsidR="00C1619C" w:rsidRPr="00C1619C" w:rsidRDefault="00D909CB" w:rsidP="00F06DFC">
      <w:pPr>
        <w:spacing w:line="360" w:lineRule="auto"/>
        <w:jc w:val="both"/>
        <w:rPr>
          <w:rFonts w:ascii="Theinhardt Light" w:hAnsi="Theinhardt Light"/>
          <w:sz w:val="24"/>
          <w:szCs w:val="24"/>
        </w:rPr>
      </w:pPr>
      <w:r>
        <w:rPr>
          <w:rFonts w:ascii="Theinhardt Light" w:hAnsi="Theinhardt Light"/>
          <w:sz w:val="24"/>
          <w:szCs w:val="24"/>
        </w:rPr>
        <w:pict w14:anchorId="14C21985">
          <v:shape id="_x0000_i1030" type="#_x0000_t75" style="width:451.5pt;height:94.5pt">
            <v:imagedata r:id="rId6" o:title="pasek logo przykład"/>
          </v:shape>
        </w:pict>
      </w:r>
    </w:p>
    <w:sectPr w:rsidR="00C1619C" w:rsidRPr="00C1619C" w:rsidSect="005861BF">
      <w:pgSz w:w="11909" w:h="16834"/>
      <w:pgMar w:top="851"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0C"/>
    <w:rsid w:val="00222415"/>
    <w:rsid w:val="00443F5B"/>
    <w:rsid w:val="0045095E"/>
    <w:rsid w:val="005861BF"/>
    <w:rsid w:val="005F000C"/>
    <w:rsid w:val="00707D7C"/>
    <w:rsid w:val="00B0558C"/>
    <w:rsid w:val="00B92B42"/>
    <w:rsid w:val="00C1619C"/>
    <w:rsid w:val="00C96EAB"/>
    <w:rsid w:val="00D909CB"/>
    <w:rsid w:val="00E1723D"/>
    <w:rsid w:val="00EF3087"/>
    <w:rsid w:val="00F06DFC"/>
    <w:rsid w:val="00F32EDE"/>
    <w:rsid w:val="00F72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8D23"/>
  <w15:docId w15:val="{5A9D3564-EAD3-484B-9432-57F0141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06DFC"/>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06DFC"/>
    <w:rPr>
      <w:rFonts w:ascii="Times New Roman" w:hAnsi="Times New Roman" w:cs="Times New Roman"/>
      <w:sz w:val="18"/>
      <w:szCs w:val="18"/>
    </w:rPr>
  </w:style>
  <w:style w:type="table" w:styleId="Tabela-Siatka">
    <w:name w:val="Table Grid"/>
    <w:basedOn w:val="Standardowy"/>
    <w:uiPriority w:val="39"/>
    <w:rsid w:val="00443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16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645</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 Winczakiewicz</dc:creator>
  <cp:lastModifiedBy>Iga Winczakiewicz</cp:lastModifiedBy>
  <cp:revision>13</cp:revision>
  <cp:lastPrinted>2021-09-15T08:42:00Z</cp:lastPrinted>
  <dcterms:created xsi:type="dcterms:W3CDTF">2021-09-14T13:51:00Z</dcterms:created>
  <dcterms:modified xsi:type="dcterms:W3CDTF">2021-09-15T14:43:00Z</dcterms:modified>
</cp:coreProperties>
</file>