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7FEF" w14:textId="77777777" w:rsidR="00BD6DF8" w:rsidRPr="00CB3EE1" w:rsidRDefault="00DC0AE0">
      <w:pPr>
        <w:pStyle w:val="Tre"/>
        <w:rPr>
          <w:rFonts w:ascii="Cambria" w:hAnsi="Cambria"/>
        </w:rPr>
      </w:pPr>
      <w:r w:rsidRPr="00CB3EE1">
        <w:rPr>
          <w:rFonts w:ascii="Cambria" w:hAnsi="Cambria"/>
          <w:noProof/>
        </w:rPr>
        <w:drawing>
          <wp:anchor distT="0" distB="0" distL="0" distR="0" simplePos="0" relativeHeight="251659264" behindDoc="0" locked="0" layoutInCell="1" allowOverlap="1" wp14:anchorId="4A809BE3" wp14:editId="42E93EC3">
            <wp:simplePos x="0" y="0"/>
            <wp:positionH relativeFrom="page">
              <wp:posOffset>5457190</wp:posOffset>
            </wp:positionH>
            <wp:positionV relativeFrom="page">
              <wp:posOffset>899794</wp:posOffset>
            </wp:positionV>
            <wp:extent cx="1229361" cy="12293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1" cy="1229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A4B802" w14:textId="77777777" w:rsidR="00BD6DF8" w:rsidRPr="00CB3EE1" w:rsidRDefault="00BD6DF8">
      <w:pPr>
        <w:pStyle w:val="Tre"/>
        <w:rPr>
          <w:rFonts w:ascii="Cambria" w:hAnsi="Cambria"/>
        </w:rPr>
      </w:pPr>
    </w:p>
    <w:p w14:paraId="283409CE" w14:textId="77777777" w:rsidR="00BD6DF8" w:rsidRPr="00CB3EE1" w:rsidRDefault="00BD6DF8">
      <w:pPr>
        <w:pStyle w:val="Tre"/>
        <w:rPr>
          <w:rFonts w:ascii="Cambria" w:hAnsi="Cambria"/>
        </w:rPr>
      </w:pPr>
    </w:p>
    <w:p w14:paraId="6F68FF05" w14:textId="77777777" w:rsidR="00BD6DF8" w:rsidRPr="00CB3EE1" w:rsidRDefault="00BD6DF8">
      <w:pPr>
        <w:pStyle w:val="Tre"/>
        <w:rPr>
          <w:rFonts w:ascii="Cambria" w:hAnsi="Cambria"/>
        </w:rPr>
      </w:pPr>
    </w:p>
    <w:p w14:paraId="2A0C6531" w14:textId="77777777" w:rsidR="00BD6DF8" w:rsidRPr="00CB3EE1" w:rsidRDefault="00BD6DF8">
      <w:pPr>
        <w:pStyle w:val="Tre"/>
        <w:rPr>
          <w:rFonts w:ascii="Cambria" w:hAnsi="Cambria"/>
        </w:rPr>
      </w:pPr>
    </w:p>
    <w:p w14:paraId="3892E4BD" w14:textId="77777777" w:rsidR="00BD6DF8" w:rsidRPr="00CB3EE1" w:rsidRDefault="00BD6DF8">
      <w:pPr>
        <w:pStyle w:val="Tre"/>
        <w:rPr>
          <w:rFonts w:ascii="Cambria" w:hAnsi="Cambria"/>
        </w:rPr>
      </w:pPr>
    </w:p>
    <w:p w14:paraId="765DFBA0" w14:textId="77777777" w:rsidR="00BD6DF8" w:rsidRPr="00CB3EE1" w:rsidRDefault="00BD6DF8">
      <w:pPr>
        <w:pStyle w:val="Tre"/>
        <w:rPr>
          <w:rFonts w:ascii="Cambria" w:hAnsi="Cambria"/>
        </w:rPr>
      </w:pPr>
    </w:p>
    <w:p w14:paraId="760507A9" w14:textId="77777777" w:rsidR="0082479A" w:rsidRPr="00CB3EE1" w:rsidRDefault="0082479A">
      <w:pPr>
        <w:pStyle w:val="Tre"/>
        <w:rPr>
          <w:rFonts w:ascii="Cambria" w:hAnsi="Cambria"/>
        </w:rPr>
      </w:pPr>
    </w:p>
    <w:p w14:paraId="7315BEC9" w14:textId="0344211E" w:rsidR="00BD6DF8" w:rsidRPr="0082479A" w:rsidRDefault="00DC0AE0">
      <w:pPr>
        <w:pStyle w:val="Tre"/>
        <w:rPr>
          <w:rFonts w:ascii="Cambria" w:hAnsi="Cambria"/>
        </w:rPr>
      </w:pPr>
      <w:r w:rsidRPr="00CB3EE1">
        <w:rPr>
          <w:rFonts w:ascii="Cambria" w:hAnsi="Cambria"/>
          <w:noProof/>
        </w:rPr>
        <w:drawing>
          <wp:anchor distT="0" distB="0" distL="0" distR="0" simplePos="0" relativeHeight="251660288" behindDoc="0" locked="0" layoutInCell="1" allowOverlap="1" wp14:anchorId="09199CE1" wp14:editId="36A415A4">
            <wp:simplePos x="0" y="0"/>
            <wp:positionH relativeFrom="page">
              <wp:posOffset>5457190</wp:posOffset>
            </wp:positionH>
            <wp:positionV relativeFrom="page">
              <wp:posOffset>899794</wp:posOffset>
            </wp:positionV>
            <wp:extent cx="1229361" cy="122936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1" cy="1229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B3EE1">
        <w:rPr>
          <w:rFonts w:ascii="Cambria" w:hAnsi="Cambria"/>
          <w:b/>
          <w:sz w:val="32"/>
          <w:szCs w:val="32"/>
        </w:rPr>
        <w:t>Ćwiczenia z kreatywności</w:t>
      </w:r>
    </w:p>
    <w:p w14:paraId="24452214" w14:textId="77777777" w:rsidR="00BD6DF8" w:rsidRDefault="00DC0AE0">
      <w:pPr>
        <w:pStyle w:val="Tre"/>
        <w:rPr>
          <w:rFonts w:ascii="Cambria" w:hAnsi="Cambria"/>
          <w:b/>
          <w:sz w:val="32"/>
          <w:szCs w:val="32"/>
        </w:rPr>
      </w:pPr>
      <w:r w:rsidRPr="00CB3EE1">
        <w:rPr>
          <w:rFonts w:ascii="Cambria" w:hAnsi="Cambria"/>
          <w:b/>
          <w:sz w:val="32"/>
          <w:szCs w:val="32"/>
        </w:rPr>
        <w:t>Przestrzenie emancypacyjnej edukacji</w:t>
      </w:r>
    </w:p>
    <w:p w14:paraId="68AAD968" w14:textId="77777777" w:rsidR="00161721" w:rsidRDefault="00161721">
      <w:pPr>
        <w:pStyle w:val="Tre"/>
        <w:rPr>
          <w:rFonts w:ascii="Cambria" w:hAnsi="Cambria"/>
          <w:b/>
          <w:sz w:val="32"/>
          <w:szCs w:val="32"/>
        </w:rPr>
      </w:pPr>
    </w:p>
    <w:p w14:paraId="6620E45A" w14:textId="77777777" w:rsidR="00161721" w:rsidRPr="00CB3EE1" w:rsidRDefault="00161721" w:rsidP="00161721">
      <w:pPr>
        <w:pStyle w:val="Tre"/>
        <w:rPr>
          <w:rFonts w:ascii="Cambria" w:hAnsi="Cambria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t>Muzeum Sztuki Nowoczesnej w Warszawie</w:t>
      </w:r>
    </w:p>
    <w:p w14:paraId="16E53CF8" w14:textId="77777777" w:rsidR="00161721" w:rsidRPr="00CB3EE1" w:rsidRDefault="00161721" w:rsidP="00161721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t>24 czerwca–4 września 2016</w:t>
      </w:r>
    </w:p>
    <w:p w14:paraId="7D6350D5" w14:textId="610AD88B" w:rsidR="00161721" w:rsidRPr="00161721" w:rsidRDefault="00161721">
      <w:pPr>
        <w:pStyle w:val="Tre"/>
        <w:rPr>
          <w:rFonts w:ascii="Cambria" w:hAnsi="Cambria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t>Otwarcie: 24 czerwca 2016, godz. 19:00</w:t>
      </w:r>
    </w:p>
    <w:p w14:paraId="0B3912E4" w14:textId="77777777" w:rsidR="00BD6DF8" w:rsidRDefault="00BD6DF8">
      <w:pPr>
        <w:pStyle w:val="Tre"/>
        <w:rPr>
          <w:rFonts w:ascii="Cambria" w:eastAsia="Warsaw" w:hAnsi="Cambria" w:cs="Warsaw"/>
          <w:b/>
        </w:rPr>
      </w:pPr>
    </w:p>
    <w:p w14:paraId="4992EC5C" w14:textId="09B28D1E" w:rsidR="00C3166A" w:rsidRPr="000C46DA" w:rsidRDefault="00C3166A">
      <w:pPr>
        <w:pStyle w:val="Tre"/>
        <w:rPr>
          <w:rFonts w:ascii="Cambria" w:eastAsia="Warsaw" w:hAnsi="Cambria" w:cs="Warsaw"/>
          <w:b/>
        </w:rPr>
      </w:pPr>
      <w:r w:rsidRPr="000C46DA">
        <w:rPr>
          <w:rFonts w:ascii="Cambria" w:hAnsi="Cambria" w:cs="Helvetica"/>
          <w:noProof/>
        </w:rPr>
        <w:drawing>
          <wp:inline distT="0" distB="0" distL="0" distR="0" wp14:anchorId="3BB23ACD" wp14:editId="5F29D7AE">
            <wp:extent cx="6116320" cy="4126389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A38F" w14:textId="5FD4B62C" w:rsidR="00DE659C" w:rsidRPr="000C46DA" w:rsidRDefault="00161721" w:rsidP="000C46DA">
      <w:pPr>
        <w:rPr>
          <w:rFonts w:ascii="Cambria" w:eastAsia="Times New Roman" w:hAnsi="Cambria"/>
          <w:bdr w:val="none" w:sz="0" w:space="0" w:color="auto"/>
          <w:lang w:val="pl-PL" w:eastAsia="pl-PL"/>
        </w:rPr>
      </w:pPr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R.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Buckminster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Fuller, Kopuły geodezyjne (dokumentacja warsztatów), fot. </w:t>
      </w:r>
      <w:proofErr w:type="spellStart"/>
      <w:r w:rsidR="000C46DA"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Masato</w:t>
      </w:r>
      <w:proofErr w:type="spellEnd"/>
      <w:r w:rsidR="000C46DA"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="000C46DA"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Nakagawa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, 1949, dzięki uprzejmości Beaumont and Nancy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Newhall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Estate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,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Scheinbaum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and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Russek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Ltd. oraz Western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Regional</w:t>
      </w:r>
      <w:proofErr w:type="spellEnd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0C46DA">
        <w:rPr>
          <w:rFonts w:ascii="Cambria" w:eastAsia="Times New Roman" w:hAnsi="Cambria"/>
          <w:color w:val="333333"/>
          <w:sz w:val="18"/>
          <w:szCs w:val="18"/>
          <w:bdr w:val="none" w:sz="0" w:space="0" w:color="auto"/>
          <w:shd w:val="clear" w:color="auto" w:fill="FFFFFF"/>
          <w:lang w:val="pl-PL" w:eastAsia="pl-PL"/>
        </w:rPr>
        <w:t>Archives</w:t>
      </w:r>
      <w:proofErr w:type="spellEnd"/>
    </w:p>
    <w:p w14:paraId="5D1610A0" w14:textId="77777777" w:rsidR="00B951B6" w:rsidRDefault="00B951B6">
      <w:pPr>
        <w:pStyle w:val="Tre"/>
        <w:rPr>
          <w:rFonts w:ascii="Cambria" w:hAnsi="Cambria"/>
          <w:sz w:val="24"/>
          <w:szCs w:val="24"/>
        </w:rPr>
      </w:pPr>
    </w:p>
    <w:p w14:paraId="6D9BDC6E" w14:textId="22CE3D65" w:rsidR="00BD6DF8" w:rsidRPr="00B951B6" w:rsidRDefault="00DC0AE0">
      <w:pPr>
        <w:pStyle w:val="Tre"/>
        <w:rPr>
          <w:rFonts w:ascii="Cambria" w:hAnsi="Cambria"/>
          <w:sz w:val="24"/>
          <w:szCs w:val="24"/>
        </w:rPr>
      </w:pPr>
      <w:r w:rsidRPr="00B951B6">
        <w:rPr>
          <w:rFonts w:ascii="Cambria" w:hAnsi="Cambria"/>
          <w:sz w:val="24"/>
          <w:szCs w:val="24"/>
        </w:rPr>
        <w:t xml:space="preserve">Jak przełamać rutynę systemu edukacyjnego, w którym nauczanie </w:t>
      </w:r>
      <w:r w:rsidRPr="00B951B6">
        <w:rPr>
          <w:rFonts w:ascii="Cambria" w:hAnsi="Cambria"/>
          <w:i/>
          <w:sz w:val="24"/>
          <w:szCs w:val="24"/>
        </w:rPr>
        <w:t>ex cathedra</w:t>
      </w:r>
      <w:r w:rsidRPr="00B951B6">
        <w:rPr>
          <w:rFonts w:ascii="Cambria" w:hAnsi="Cambria"/>
          <w:sz w:val="24"/>
          <w:szCs w:val="24"/>
        </w:rPr>
        <w:t xml:space="preserve"> i przyswajanie faktów są nadal głównymi formami zdobywania wiedzy? </w:t>
      </w:r>
      <w:r w:rsidRPr="00CB3EE1">
        <w:rPr>
          <w:rFonts w:ascii="Cambria" w:hAnsi="Cambria"/>
          <w:sz w:val="24"/>
          <w:szCs w:val="24"/>
        </w:rPr>
        <w:t>Sięgając do przykładów z</w:t>
      </w:r>
      <w:r w:rsidR="004517FA" w:rsidRPr="00CB3EE1">
        <w:rPr>
          <w:rFonts w:ascii="Cambria" w:hAnsi="Cambria"/>
          <w:sz w:val="24"/>
          <w:szCs w:val="24"/>
        </w:rPr>
        <w:t>e</w:t>
      </w:r>
      <w:r w:rsidRPr="00CB3EE1">
        <w:rPr>
          <w:rFonts w:ascii="Cambria" w:hAnsi="Cambria"/>
          <w:sz w:val="24"/>
          <w:szCs w:val="24"/>
        </w:rPr>
        <w:t xml:space="preserve"> sztuki i architektury, wystawa </w:t>
      </w:r>
      <w:r w:rsidR="0098218B" w:rsidRPr="00CB3EE1">
        <w:rPr>
          <w:rFonts w:ascii="Cambria" w:hAnsi="Cambria"/>
          <w:sz w:val="24"/>
          <w:szCs w:val="24"/>
        </w:rPr>
        <w:t>„</w:t>
      </w:r>
      <w:r w:rsidRPr="00CB3EE1">
        <w:rPr>
          <w:rFonts w:ascii="Cambria" w:hAnsi="Cambria"/>
          <w:sz w:val="24"/>
          <w:szCs w:val="24"/>
        </w:rPr>
        <w:t>Ćwiczenia z kreatywności</w:t>
      </w:r>
      <w:r w:rsidR="0068116A" w:rsidRPr="00CB3EE1">
        <w:rPr>
          <w:rFonts w:ascii="Cambria" w:hAnsi="Cambria"/>
          <w:sz w:val="24"/>
          <w:szCs w:val="24"/>
        </w:rPr>
        <w:t>”</w:t>
      </w:r>
      <w:r w:rsidRPr="00CB3EE1">
        <w:rPr>
          <w:rFonts w:ascii="Cambria" w:hAnsi="Cambria"/>
          <w:sz w:val="24"/>
          <w:szCs w:val="24"/>
        </w:rPr>
        <w:t xml:space="preserve"> pokazuje</w:t>
      </w:r>
      <w:r w:rsidR="0098218B" w:rsidRPr="00CB3EE1">
        <w:rPr>
          <w:rFonts w:ascii="Cambria" w:hAnsi="Cambria"/>
          <w:sz w:val="24"/>
          <w:szCs w:val="24"/>
        </w:rPr>
        <w:t>,</w:t>
      </w:r>
      <w:r w:rsidRPr="00CB3EE1">
        <w:rPr>
          <w:rFonts w:ascii="Cambria" w:hAnsi="Cambria"/>
          <w:sz w:val="24"/>
          <w:szCs w:val="24"/>
        </w:rPr>
        <w:t xml:space="preserve"> jak otwarte i </w:t>
      </w:r>
      <w:r w:rsidR="004517FA" w:rsidRPr="00CB3EE1">
        <w:rPr>
          <w:rFonts w:ascii="Cambria" w:hAnsi="Cambria"/>
          <w:sz w:val="24"/>
          <w:szCs w:val="24"/>
        </w:rPr>
        <w:t>uczestniczące</w:t>
      </w:r>
      <w:r w:rsidRPr="00CB3EE1">
        <w:rPr>
          <w:rFonts w:ascii="Cambria" w:hAnsi="Cambria"/>
          <w:sz w:val="24"/>
          <w:szCs w:val="24"/>
        </w:rPr>
        <w:t xml:space="preserve"> formy uczenia się</w:t>
      </w:r>
      <w:r w:rsidR="0098218B" w:rsidRPr="00CB3EE1">
        <w:rPr>
          <w:rFonts w:ascii="Cambria" w:hAnsi="Cambria"/>
          <w:sz w:val="24"/>
          <w:szCs w:val="24"/>
        </w:rPr>
        <w:t>,</w:t>
      </w:r>
      <w:r w:rsidRPr="00CB3EE1">
        <w:rPr>
          <w:rFonts w:ascii="Cambria" w:hAnsi="Cambria"/>
          <w:sz w:val="24"/>
          <w:szCs w:val="24"/>
        </w:rPr>
        <w:t xml:space="preserve"> takie jak </w:t>
      </w:r>
      <w:r w:rsidR="00295E33" w:rsidRPr="00CB3EE1">
        <w:rPr>
          <w:rFonts w:ascii="Cambria" w:hAnsi="Cambria"/>
          <w:sz w:val="24"/>
          <w:szCs w:val="24"/>
        </w:rPr>
        <w:t>różne techniki montażu</w:t>
      </w:r>
      <w:r w:rsidRPr="00CB3EE1">
        <w:rPr>
          <w:rFonts w:ascii="Cambria" w:hAnsi="Cambria"/>
          <w:sz w:val="24"/>
          <w:szCs w:val="24"/>
        </w:rPr>
        <w:t xml:space="preserve">, ćwiczenia ruchowe, utopijne modele architektoniczne, gry oparte na komunikacji niewerbalnej czy kolektywne działania mogą stać się </w:t>
      </w:r>
      <w:r w:rsidR="0098218B" w:rsidRPr="00CB3EE1">
        <w:rPr>
          <w:rFonts w:ascii="Cambria" w:hAnsi="Cambria"/>
          <w:sz w:val="24"/>
          <w:szCs w:val="24"/>
        </w:rPr>
        <w:t xml:space="preserve">inspiracją </w:t>
      </w:r>
      <w:r w:rsidRPr="00CB3EE1">
        <w:rPr>
          <w:rFonts w:ascii="Cambria" w:hAnsi="Cambria"/>
          <w:sz w:val="24"/>
          <w:szCs w:val="24"/>
        </w:rPr>
        <w:t>dla wyobraźni oraz początkiem budowania eksperymentalnych i demokratycznych wspólnot.</w:t>
      </w:r>
    </w:p>
    <w:p w14:paraId="0F646146" w14:textId="77777777" w:rsidR="00BD6DF8" w:rsidRPr="00CB3EE1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18F470E8" w14:textId="45E78F97" w:rsidR="00BD6DF8" w:rsidRPr="00CB3EE1" w:rsidRDefault="00DC0AE0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Tytuł wystawy odnosi się do nazwy kursu artystycznego prowadzonego </w:t>
      </w:r>
      <w:r w:rsidR="004517FA" w:rsidRPr="00CB3EE1">
        <w:rPr>
          <w:rFonts w:ascii="Cambria" w:hAnsi="Cambria"/>
          <w:sz w:val="24"/>
          <w:szCs w:val="24"/>
        </w:rPr>
        <w:t xml:space="preserve">w latach </w:t>
      </w:r>
      <w:r w:rsidRPr="00CB3EE1">
        <w:rPr>
          <w:rFonts w:ascii="Cambria" w:hAnsi="Cambria"/>
          <w:sz w:val="24"/>
          <w:szCs w:val="24"/>
        </w:rPr>
        <w:t>1975</w:t>
      </w:r>
      <w:r w:rsidR="00DE659C" w:rsidRPr="00CB3EE1">
        <w:rPr>
          <w:rFonts w:ascii="Cambria" w:hAnsi="Cambria"/>
          <w:sz w:val="24"/>
          <w:szCs w:val="24"/>
        </w:rPr>
        <w:t>–</w:t>
      </w:r>
      <w:r w:rsidRPr="00CB3EE1">
        <w:rPr>
          <w:rFonts w:ascii="Cambria" w:hAnsi="Cambria"/>
          <w:sz w:val="24"/>
          <w:szCs w:val="24"/>
        </w:rPr>
        <w:t xml:space="preserve">1977 w Budapeszcie przez Miklósa </w:t>
      </w:r>
      <w:proofErr w:type="spellStart"/>
      <w:r w:rsidRPr="00CB3EE1">
        <w:rPr>
          <w:rFonts w:ascii="Cambria" w:hAnsi="Cambria"/>
          <w:sz w:val="24"/>
          <w:szCs w:val="24"/>
        </w:rPr>
        <w:t>Erdély’ego</w:t>
      </w:r>
      <w:proofErr w:type="spellEnd"/>
      <w:r w:rsidRPr="00CB3EE1">
        <w:rPr>
          <w:rFonts w:ascii="Cambria" w:hAnsi="Cambria"/>
          <w:sz w:val="24"/>
          <w:szCs w:val="24"/>
        </w:rPr>
        <w:t xml:space="preserve"> i </w:t>
      </w:r>
      <w:proofErr w:type="spellStart"/>
      <w:r w:rsidRPr="00CB3EE1">
        <w:rPr>
          <w:rFonts w:ascii="Cambria" w:hAnsi="Cambria"/>
          <w:sz w:val="24"/>
          <w:szCs w:val="24"/>
        </w:rPr>
        <w:t>Dórę</w:t>
      </w:r>
      <w:proofErr w:type="spellEnd"/>
      <w:r w:rsidRPr="00CB3EE1">
        <w:rPr>
          <w:rFonts w:ascii="Cambria" w:hAnsi="Cambria"/>
          <w:sz w:val="24"/>
          <w:szCs w:val="24"/>
        </w:rPr>
        <w:t xml:space="preserve"> Maurer. Śledząc bliskie im przy</w:t>
      </w:r>
      <w:r w:rsidR="006619D0" w:rsidRPr="00CB3EE1">
        <w:rPr>
          <w:rFonts w:ascii="Cambria" w:hAnsi="Cambria"/>
          <w:sz w:val="24"/>
          <w:szCs w:val="24"/>
        </w:rPr>
        <w:t xml:space="preserve">kłady </w:t>
      </w:r>
      <w:proofErr w:type="spellStart"/>
      <w:r w:rsidR="00295E33" w:rsidRPr="00CB3EE1">
        <w:rPr>
          <w:rFonts w:ascii="Cambria" w:hAnsi="Cambria"/>
          <w:sz w:val="24"/>
          <w:szCs w:val="24"/>
        </w:rPr>
        <w:lastRenderedPageBreak/>
        <w:t>transdyscyplinarnych</w:t>
      </w:r>
      <w:proofErr w:type="spellEnd"/>
      <w:r w:rsidR="00295E33" w:rsidRPr="00CB3EE1">
        <w:rPr>
          <w:rFonts w:ascii="Cambria" w:hAnsi="Cambria"/>
          <w:sz w:val="24"/>
          <w:szCs w:val="24"/>
        </w:rPr>
        <w:t xml:space="preserve"> kół</w:t>
      </w:r>
      <w:r w:rsidRPr="00CB3EE1">
        <w:rPr>
          <w:rFonts w:ascii="Cambria" w:hAnsi="Cambria"/>
          <w:sz w:val="24"/>
          <w:szCs w:val="24"/>
        </w:rPr>
        <w:t xml:space="preserve"> samokształceniowych z lat 70-tych i wcześniejsze eksperymenty pedagogiczne związane ze środowiskami </w:t>
      </w:r>
      <w:proofErr w:type="spellStart"/>
      <w:r w:rsidRPr="00CB3EE1">
        <w:rPr>
          <w:rFonts w:ascii="Cambria" w:hAnsi="Cambria"/>
          <w:sz w:val="24"/>
          <w:szCs w:val="24"/>
        </w:rPr>
        <w:t>Bauhausu</w:t>
      </w:r>
      <w:proofErr w:type="spellEnd"/>
      <w:r w:rsidRPr="00CB3EE1">
        <w:rPr>
          <w:rFonts w:ascii="Cambria" w:hAnsi="Cambria"/>
          <w:sz w:val="24"/>
          <w:szCs w:val="24"/>
        </w:rPr>
        <w:t xml:space="preserve">, Black </w:t>
      </w:r>
      <w:proofErr w:type="spellStart"/>
      <w:r w:rsidRPr="00CB3EE1">
        <w:rPr>
          <w:rFonts w:ascii="Cambria" w:hAnsi="Cambria"/>
          <w:sz w:val="24"/>
          <w:szCs w:val="24"/>
        </w:rPr>
        <w:t>Mountain</w:t>
      </w:r>
      <w:proofErr w:type="spellEnd"/>
      <w:r w:rsidRPr="00CB3EE1">
        <w:rPr>
          <w:rFonts w:ascii="Cambria" w:hAnsi="Cambria"/>
          <w:sz w:val="24"/>
          <w:szCs w:val="24"/>
        </w:rPr>
        <w:t xml:space="preserve"> Collage czy Międzynarodówki </w:t>
      </w:r>
      <w:proofErr w:type="spellStart"/>
      <w:r w:rsidRPr="00CB3EE1">
        <w:rPr>
          <w:rFonts w:ascii="Cambria" w:hAnsi="Cambria"/>
          <w:sz w:val="24"/>
          <w:szCs w:val="24"/>
        </w:rPr>
        <w:t>Sytuacjonistów</w:t>
      </w:r>
      <w:proofErr w:type="spellEnd"/>
      <w:r w:rsidRPr="00CB3EE1">
        <w:rPr>
          <w:rFonts w:ascii="Cambria" w:hAnsi="Cambria"/>
          <w:sz w:val="24"/>
          <w:szCs w:val="24"/>
        </w:rPr>
        <w:t xml:space="preserve">, wystawa odkrywa edukacyjny potencjał sztuki i włącza się we współczesne debaty na temat zwrotu edukacyjnego w sztukach wizualnych czy urynkowienia kreatywności. </w:t>
      </w:r>
    </w:p>
    <w:p w14:paraId="749C29C7" w14:textId="77777777" w:rsidR="00BD6DF8" w:rsidRPr="00CB3EE1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25FBABA9" w14:textId="430723FB" w:rsidR="00BD6DF8" w:rsidRPr="00CB3EE1" w:rsidRDefault="00DC0AE0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Prezentując alternatywne metody edukacji artystycznej w kontekście pedagogiki krytycznej i emancypacyjnej, wystawa definiuje kreatywność jako formę działania, które jest wcielane w życie, gdy sieć relacji i ról otaczających jednostkę zostaje zerwana. Nie jest to cecha ani umiejętność, którą można rozwinąć, ale międzyludzka forma działania, która umożliwia krytyczne, wspólnotowe uczenie się. Nie oznacza biernego przyswajania informacji, ale (</w:t>
      </w:r>
      <w:proofErr w:type="spellStart"/>
      <w:r w:rsidRPr="00CB3EE1">
        <w:rPr>
          <w:rFonts w:ascii="Cambria" w:hAnsi="Cambria"/>
          <w:sz w:val="24"/>
          <w:szCs w:val="24"/>
        </w:rPr>
        <w:t>inter</w:t>
      </w:r>
      <w:proofErr w:type="spellEnd"/>
      <w:r w:rsidRPr="00CB3EE1">
        <w:rPr>
          <w:rFonts w:ascii="Cambria" w:hAnsi="Cambria"/>
          <w:sz w:val="24"/>
          <w:szCs w:val="24"/>
        </w:rPr>
        <w:t>)aktywne kształtowanie osobowości i relacji interpersonalnych oraz upodmiotowienie grup i jednostek, tak</w:t>
      </w:r>
      <w:r w:rsidR="00611A11" w:rsidRPr="00CB3EE1">
        <w:rPr>
          <w:rFonts w:ascii="Cambria" w:hAnsi="Cambria"/>
          <w:sz w:val="24"/>
          <w:szCs w:val="24"/>
        </w:rPr>
        <w:t>,</w:t>
      </w:r>
      <w:r w:rsidRPr="00CB3EE1">
        <w:rPr>
          <w:rFonts w:ascii="Cambria" w:hAnsi="Cambria"/>
          <w:sz w:val="24"/>
          <w:szCs w:val="24"/>
        </w:rPr>
        <w:t xml:space="preserve"> by mogły stać się krytycznymi i odpowiedzialnymi aktorami społecznymi. </w:t>
      </w:r>
    </w:p>
    <w:p w14:paraId="42F52951" w14:textId="77777777" w:rsidR="00BD6DF8" w:rsidRPr="00CB3EE1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523EE7BC" w14:textId="0A805DA0" w:rsidR="00BD6DF8" w:rsidRPr="00CB3EE1" w:rsidRDefault="00DC0AE0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Wystawa gromadzi przykłady działań edukacyjnych artystów i architektów, którzy, podobnie jak wpływowi reformatorzy edukacji</w:t>
      </w:r>
      <w:r w:rsidR="001016D7" w:rsidRPr="00CB3EE1">
        <w:rPr>
          <w:rFonts w:ascii="Cambria" w:hAnsi="Cambria"/>
          <w:sz w:val="24"/>
          <w:szCs w:val="24"/>
        </w:rPr>
        <w:t>,</w:t>
      </w:r>
      <w:r w:rsidRPr="00CB3EE1">
        <w:rPr>
          <w:rFonts w:ascii="Cambria" w:hAnsi="Cambria"/>
          <w:sz w:val="24"/>
          <w:szCs w:val="24"/>
        </w:rPr>
        <w:t xml:space="preserve"> tacy jak Paolo Freire czy Ivan </w:t>
      </w:r>
      <w:proofErr w:type="spellStart"/>
      <w:r w:rsidRPr="00CB3EE1">
        <w:rPr>
          <w:rFonts w:ascii="Cambria" w:hAnsi="Cambria"/>
          <w:sz w:val="24"/>
          <w:szCs w:val="24"/>
        </w:rPr>
        <w:t>Illich</w:t>
      </w:r>
      <w:proofErr w:type="spellEnd"/>
      <w:r w:rsidRPr="00CB3EE1">
        <w:rPr>
          <w:rFonts w:ascii="Cambria" w:hAnsi="Cambria"/>
          <w:sz w:val="24"/>
          <w:szCs w:val="24"/>
        </w:rPr>
        <w:t>, szukali nowych metod uczenia się, które stymulowałyby społeczne zaangażowanie i formowanie się podmiotów politycznych. Korzystając z diagramów, pomocy wizualnych, aparatów dydaktycznych, alternatywnych metod nauczania, przestrzeni pedagogicznych eksperymentów oraz procesów budujących wspólnotę, artyści i architekci</w:t>
      </w:r>
      <w:r w:rsidR="001016D7" w:rsidRPr="00CB3EE1">
        <w:rPr>
          <w:rFonts w:ascii="Cambria" w:hAnsi="Cambria"/>
          <w:sz w:val="24"/>
          <w:szCs w:val="24"/>
        </w:rPr>
        <w:t>,</w:t>
      </w:r>
      <w:r w:rsidRPr="00CB3EE1">
        <w:rPr>
          <w:rFonts w:ascii="Cambria" w:hAnsi="Cambria"/>
          <w:sz w:val="24"/>
          <w:szCs w:val="24"/>
        </w:rPr>
        <w:t xml:space="preserve"> tacy jak Robert </w:t>
      </w:r>
      <w:proofErr w:type="spellStart"/>
      <w:r w:rsidRPr="00CB3EE1">
        <w:rPr>
          <w:rFonts w:ascii="Cambria" w:hAnsi="Cambria"/>
          <w:sz w:val="24"/>
          <w:szCs w:val="24"/>
        </w:rPr>
        <w:t>Filliou</w:t>
      </w:r>
      <w:proofErr w:type="spellEnd"/>
      <w:r w:rsidRPr="00CB3EE1">
        <w:rPr>
          <w:rFonts w:ascii="Cambria" w:hAnsi="Cambria"/>
          <w:sz w:val="24"/>
          <w:szCs w:val="24"/>
        </w:rPr>
        <w:t xml:space="preserve">, Oskar Hansen czy </w:t>
      </w:r>
      <w:proofErr w:type="spellStart"/>
      <w:r w:rsidRPr="00CB3EE1">
        <w:rPr>
          <w:rFonts w:ascii="Cambria" w:hAnsi="Cambria"/>
          <w:sz w:val="24"/>
          <w:szCs w:val="24"/>
        </w:rPr>
        <w:t>Tamás</w:t>
      </w:r>
      <w:proofErr w:type="spellEnd"/>
      <w:r w:rsidRPr="00CB3EE1">
        <w:rPr>
          <w:rFonts w:ascii="Cambria" w:hAnsi="Cambria"/>
          <w:sz w:val="24"/>
          <w:szCs w:val="24"/>
        </w:rPr>
        <w:t xml:space="preserve"> </w:t>
      </w:r>
      <w:proofErr w:type="spellStart"/>
      <w:r w:rsidRPr="00CB3EE1">
        <w:rPr>
          <w:rFonts w:ascii="Cambria" w:hAnsi="Cambria"/>
          <w:sz w:val="24"/>
          <w:szCs w:val="24"/>
        </w:rPr>
        <w:t>Szentjóby</w:t>
      </w:r>
      <w:proofErr w:type="spellEnd"/>
      <w:r w:rsidRPr="00CB3EE1">
        <w:rPr>
          <w:rFonts w:ascii="Cambria" w:hAnsi="Cambria"/>
          <w:sz w:val="24"/>
          <w:szCs w:val="24"/>
        </w:rPr>
        <w:t xml:space="preserve"> wskazywali nowe </w:t>
      </w:r>
      <w:r w:rsidR="00295E33" w:rsidRPr="00CB3EE1">
        <w:rPr>
          <w:rFonts w:ascii="Cambria" w:hAnsi="Cambria"/>
          <w:sz w:val="24"/>
          <w:szCs w:val="24"/>
        </w:rPr>
        <w:t>modele</w:t>
      </w:r>
      <w:r w:rsidRPr="00CB3EE1">
        <w:rPr>
          <w:rFonts w:ascii="Cambria" w:hAnsi="Cambria"/>
          <w:sz w:val="24"/>
          <w:szCs w:val="24"/>
        </w:rPr>
        <w:t xml:space="preserve"> budowania otwartego społeczeństwa.</w:t>
      </w:r>
    </w:p>
    <w:p w14:paraId="524CF2EF" w14:textId="77777777" w:rsidR="00BD6DF8" w:rsidRPr="00CB3EE1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6D109A48" w14:textId="300DB9D1" w:rsidR="00BD6DF8" w:rsidRPr="00CB3EE1" w:rsidRDefault="00DC0AE0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Architektura wystawy zaprojektowana przez </w:t>
      </w:r>
      <w:proofErr w:type="spellStart"/>
      <w:r w:rsidRPr="00CB3EE1">
        <w:rPr>
          <w:rFonts w:ascii="Cambria" w:hAnsi="Cambria"/>
          <w:sz w:val="24"/>
          <w:szCs w:val="24"/>
        </w:rPr>
        <w:t>Tamása</w:t>
      </w:r>
      <w:proofErr w:type="spellEnd"/>
      <w:r w:rsidRPr="00CB3EE1">
        <w:rPr>
          <w:rFonts w:ascii="Cambria" w:hAnsi="Cambria"/>
          <w:sz w:val="24"/>
          <w:szCs w:val="24"/>
        </w:rPr>
        <w:t xml:space="preserve"> </w:t>
      </w:r>
      <w:proofErr w:type="spellStart"/>
      <w:r w:rsidRPr="00CB3EE1">
        <w:rPr>
          <w:rFonts w:ascii="Cambria" w:hAnsi="Cambria"/>
          <w:sz w:val="24"/>
          <w:szCs w:val="24"/>
        </w:rPr>
        <w:t>Kaszása</w:t>
      </w:r>
      <w:proofErr w:type="spellEnd"/>
      <w:r w:rsidRPr="00CB3EE1">
        <w:rPr>
          <w:rFonts w:ascii="Cambria" w:hAnsi="Cambria"/>
          <w:sz w:val="24"/>
          <w:szCs w:val="24"/>
        </w:rPr>
        <w:t xml:space="preserve"> nawiązuje do </w:t>
      </w:r>
      <w:r w:rsidR="001016D7" w:rsidRPr="00CB3EE1">
        <w:rPr>
          <w:rFonts w:ascii="Cambria" w:hAnsi="Cambria"/>
          <w:sz w:val="24"/>
          <w:szCs w:val="24"/>
        </w:rPr>
        <w:t>„</w:t>
      </w:r>
      <w:proofErr w:type="spellStart"/>
      <w:r w:rsidR="001016D7" w:rsidRPr="00CB3EE1">
        <w:rPr>
          <w:rFonts w:ascii="Cambria" w:hAnsi="Cambria"/>
          <w:sz w:val="24"/>
          <w:szCs w:val="24"/>
        </w:rPr>
        <w:t>P</w:t>
      </w:r>
      <w:r w:rsidRPr="00CB3EE1">
        <w:rPr>
          <w:rFonts w:ascii="Cambria" w:hAnsi="Cambria"/>
          <w:sz w:val="24"/>
          <w:szCs w:val="24"/>
        </w:rPr>
        <w:t>oipoidromu</w:t>
      </w:r>
      <w:proofErr w:type="spellEnd"/>
      <w:r w:rsidR="001016D7" w:rsidRPr="00CB3EE1">
        <w:rPr>
          <w:rFonts w:ascii="Cambria" w:hAnsi="Cambria"/>
          <w:sz w:val="24"/>
          <w:szCs w:val="24"/>
        </w:rPr>
        <w:t>”</w:t>
      </w:r>
      <w:r w:rsidRPr="00CB3EE1">
        <w:rPr>
          <w:rFonts w:ascii="Cambria" w:hAnsi="Cambria"/>
          <w:sz w:val="24"/>
          <w:szCs w:val="24"/>
        </w:rPr>
        <w:t xml:space="preserve"> Roberta </w:t>
      </w:r>
      <w:proofErr w:type="spellStart"/>
      <w:r w:rsidRPr="00CB3EE1">
        <w:rPr>
          <w:rFonts w:ascii="Cambria" w:hAnsi="Cambria"/>
          <w:sz w:val="24"/>
          <w:szCs w:val="24"/>
        </w:rPr>
        <w:t>Filliou</w:t>
      </w:r>
      <w:proofErr w:type="spellEnd"/>
      <w:r w:rsidRPr="00CB3EE1">
        <w:rPr>
          <w:rFonts w:ascii="Cambria" w:hAnsi="Cambria"/>
          <w:sz w:val="24"/>
          <w:szCs w:val="24"/>
        </w:rPr>
        <w:t xml:space="preserve"> i Joachima </w:t>
      </w:r>
      <w:proofErr w:type="spellStart"/>
      <w:r w:rsidRPr="00CB3EE1">
        <w:rPr>
          <w:rFonts w:ascii="Cambria" w:hAnsi="Cambria"/>
          <w:sz w:val="24"/>
          <w:szCs w:val="24"/>
        </w:rPr>
        <w:t>Pfeufera</w:t>
      </w:r>
      <w:proofErr w:type="spellEnd"/>
      <w:r w:rsidRPr="00CB3EE1">
        <w:rPr>
          <w:rFonts w:ascii="Cambria" w:hAnsi="Cambria"/>
          <w:sz w:val="24"/>
          <w:szCs w:val="24"/>
        </w:rPr>
        <w:t xml:space="preserve">, instalacji architektonicznej, </w:t>
      </w:r>
      <w:r w:rsidR="0066610B" w:rsidRPr="00CB3EE1">
        <w:rPr>
          <w:rFonts w:ascii="Cambria" w:hAnsi="Cambria" w:cs="Theinhardt Regular"/>
          <w:sz w:val="24"/>
          <w:szCs w:val="24"/>
        </w:rPr>
        <w:t>zaprojektowanej w latach 60-tych XX wieku, która w swojej przestrzeni odzwierciedlała kolejne etapy procesu twórczego.</w:t>
      </w:r>
      <w:r w:rsidRPr="00CB3EE1">
        <w:rPr>
          <w:rFonts w:ascii="Cambria" w:hAnsi="Cambria"/>
          <w:sz w:val="24"/>
          <w:szCs w:val="24"/>
        </w:rPr>
        <w:t xml:space="preserve"> Jedno z jej pomieszczeń, gabinet </w:t>
      </w:r>
      <w:proofErr w:type="spellStart"/>
      <w:r w:rsidRPr="00CB3EE1">
        <w:rPr>
          <w:rFonts w:ascii="Cambria" w:hAnsi="Cambria"/>
          <w:sz w:val="24"/>
          <w:szCs w:val="24"/>
        </w:rPr>
        <w:t>Poipoi</w:t>
      </w:r>
      <w:proofErr w:type="spellEnd"/>
      <w:r w:rsidRPr="00CB3EE1">
        <w:rPr>
          <w:rFonts w:ascii="Cambria" w:hAnsi="Cambria"/>
          <w:sz w:val="24"/>
          <w:szCs w:val="24"/>
        </w:rPr>
        <w:t>, gromadził odniesienia kulturowe, które m</w:t>
      </w:r>
      <w:r w:rsidR="00295E33" w:rsidRPr="00CB3EE1">
        <w:rPr>
          <w:rFonts w:ascii="Cambria" w:hAnsi="Cambria"/>
          <w:sz w:val="24"/>
          <w:szCs w:val="24"/>
        </w:rPr>
        <w:t>iały za zadanie wzbogacać dalsze</w:t>
      </w:r>
      <w:r w:rsidRPr="00CB3EE1">
        <w:rPr>
          <w:rFonts w:ascii="Cambria" w:hAnsi="Cambria"/>
          <w:sz w:val="24"/>
          <w:szCs w:val="24"/>
        </w:rPr>
        <w:t xml:space="preserve"> proces</w:t>
      </w:r>
      <w:r w:rsidR="00295E33" w:rsidRPr="00CB3EE1">
        <w:rPr>
          <w:rFonts w:ascii="Cambria" w:hAnsi="Cambria"/>
          <w:sz w:val="24"/>
          <w:szCs w:val="24"/>
        </w:rPr>
        <w:t>y twórcze</w:t>
      </w:r>
      <w:r w:rsidRPr="00CB3EE1">
        <w:rPr>
          <w:rFonts w:ascii="Cambria" w:hAnsi="Cambria"/>
          <w:sz w:val="24"/>
          <w:szCs w:val="24"/>
        </w:rPr>
        <w:t xml:space="preserve">. Wystawa, będąca sama w sobie gabinetem </w:t>
      </w:r>
      <w:proofErr w:type="spellStart"/>
      <w:r w:rsidRPr="00CB3EE1">
        <w:rPr>
          <w:rFonts w:ascii="Cambria" w:hAnsi="Cambria"/>
          <w:sz w:val="24"/>
          <w:szCs w:val="24"/>
        </w:rPr>
        <w:t>Poipoi</w:t>
      </w:r>
      <w:proofErr w:type="spellEnd"/>
      <w:r w:rsidRPr="00CB3EE1">
        <w:rPr>
          <w:rFonts w:ascii="Cambria" w:hAnsi="Cambria"/>
          <w:sz w:val="24"/>
          <w:szCs w:val="24"/>
        </w:rPr>
        <w:t>, również traktuje działania edukacyjne artystów i architektów jako źródło inspiracji, oferując publiczności możliwość wypróbowania ich podczas warsztatów organizowanych przez muzealnych edukatorów.</w:t>
      </w:r>
    </w:p>
    <w:p w14:paraId="632151FF" w14:textId="77777777" w:rsidR="00BD6DF8" w:rsidRPr="00CB3EE1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4BB17883" w14:textId="115B1EF5" w:rsidR="000C46DA" w:rsidRPr="000C46DA" w:rsidRDefault="008465E8" w:rsidP="008465E8">
      <w:pPr>
        <w:pStyle w:val="Tre"/>
        <w:rPr>
          <w:rFonts w:ascii="Cambria" w:hAnsi="Cambria" w:cs="Theinhardt Regular"/>
          <w:sz w:val="24"/>
          <w:szCs w:val="24"/>
        </w:rPr>
      </w:pPr>
      <w:r w:rsidRPr="000C46DA">
        <w:rPr>
          <w:rFonts w:ascii="Cambria" w:hAnsi="Cambria" w:cs="Theinhardt Regular"/>
          <w:sz w:val="24"/>
          <w:szCs w:val="24"/>
        </w:rPr>
        <w:t xml:space="preserve">Wystawa zawiera prace i odniesienia do twórczości takich artystów, architektów i teoretyków, jak: Grupa 143, Josef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Albers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Imre Bak, Joseph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Beuys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George Brecht, Guy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Debord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Miklós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Erdély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Escuela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de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Valparaíso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</w:t>
      </w:r>
      <w:r w:rsidRPr="000C46DA">
        <w:rPr>
          <w:rFonts w:ascii="Cambria" w:hAnsi="Cambria" w:cs="Helvetica"/>
          <w:sz w:val="24"/>
          <w:szCs w:val="24"/>
        </w:rPr>
        <w:t>ex-</w:t>
      </w:r>
      <w:proofErr w:type="spellStart"/>
      <w:r w:rsidRPr="000C46DA">
        <w:rPr>
          <w:rFonts w:ascii="Cambria" w:hAnsi="Cambria" w:cs="Helvetica"/>
          <w:sz w:val="24"/>
          <w:szCs w:val="24"/>
        </w:rPr>
        <w:t>artists</w:t>
      </w:r>
      <w:proofErr w:type="spellEnd"/>
      <w:r w:rsidRPr="000C46DA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Helvetica"/>
          <w:sz w:val="24"/>
          <w:szCs w:val="24"/>
        </w:rPr>
        <w:t>collective</w:t>
      </w:r>
      <w:proofErr w:type="spellEnd"/>
      <w:r w:rsidRPr="000C46DA">
        <w:rPr>
          <w:rFonts w:ascii="Cambria" w:hAnsi="Cambria" w:cs="Helvetica"/>
          <w:sz w:val="24"/>
          <w:szCs w:val="24"/>
        </w:rPr>
        <w:t xml:space="preserve"> (</w:t>
      </w:r>
      <w:proofErr w:type="spellStart"/>
      <w:r w:rsidRPr="000C46DA">
        <w:rPr>
          <w:rFonts w:ascii="Cambria" w:hAnsi="Cambria" w:cs="Helvetica"/>
          <w:sz w:val="24"/>
          <w:szCs w:val="24"/>
        </w:rPr>
        <w:t>Tamás</w:t>
      </w:r>
      <w:proofErr w:type="spellEnd"/>
      <w:r w:rsidRPr="000C46DA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Helvetica"/>
          <w:sz w:val="24"/>
          <w:szCs w:val="24"/>
        </w:rPr>
        <w:t>Kaszás</w:t>
      </w:r>
      <w:proofErr w:type="spellEnd"/>
      <w:r w:rsidR="000C46DA" w:rsidRPr="000C46DA">
        <w:rPr>
          <w:rFonts w:ascii="Cambria" w:hAnsi="Cambria" w:cs="Helvetica"/>
          <w:sz w:val="24"/>
          <w:szCs w:val="24"/>
        </w:rPr>
        <w:t xml:space="preserve"> </w:t>
      </w:r>
      <w:r w:rsidRPr="000C46DA">
        <w:rPr>
          <w:rFonts w:ascii="Cambria" w:hAnsi="Cambria" w:cs="Helvetica"/>
          <w:sz w:val="24"/>
          <w:szCs w:val="24"/>
        </w:rPr>
        <w:t xml:space="preserve">- </w:t>
      </w:r>
      <w:proofErr w:type="spellStart"/>
      <w:r w:rsidRPr="000C46DA">
        <w:rPr>
          <w:rFonts w:ascii="Cambria" w:hAnsi="Cambria" w:cs="Helvetica"/>
          <w:sz w:val="24"/>
          <w:szCs w:val="24"/>
        </w:rPr>
        <w:t>Anikó</w:t>
      </w:r>
      <w:proofErr w:type="spellEnd"/>
      <w:r w:rsidRPr="000C46DA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Helvetica"/>
          <w:sz w:val="24"/>
          <w:szCs w:val="24"/>
        </w:rPr>
        <w:t>Loránt</w:t>
      </w:r>
      <w:proofErr w:type="spellEnd"/>
      <w:r w:rsidRPr="000C46DA">
        <w:rPr>
          <w:rFonts w:ascii="Cambria" w:hAnsi="Cambria" w:cs="Helvetica"/>
          <w:sz w:val="24"/>
          <w:szCs w:val="24"/>
        </w:rPr>
        <w:t>)</w:t>
      </w:r>
      <w:r w:rsidRPr="000C46DA">
        <w:rPr>
          <w:rFonts w:ascii="Cambria" w:hAnsi="Cambria" w:cs="Theinhardt Regular"/>
          <w:sz w:val="24"/>
          <w:szCs w:val="24"/>
        </w:rPr>
        <w:t xml:space="preserve">, Robert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Filliou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i Joachim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Pfeufer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Paolo Freire,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Yona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Friedman, R.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Buckminster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Fuller,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Lujza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Gecser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Oskar Hansen,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Hannah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Higgins, Ivan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Illich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grupa INDIGO,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Asger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Jorn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Paul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Klee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Attila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Kotányi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</w:t>
      </w:r>
      <w:proofErr w:type="spellStart"/>
      <w:r w:rsidR="000C46DA" w:rsidRPr="000C46DA">
        <w:rPr>
          <w:rFonts w:ascii="Cambria" w:hAnsi="Cambria" w:cs="Theinhardt Regular"/>
          <w:sz w:val="24"/>
          <w:szCs w:val="24"/>
        </w:rPr>
        <w:t>KwieKulik</w:t>
      </w:r>
      <w:proofErr w:type="spellEnd"/>
      <w:r w:rsidR="000C46DA" w:rsidRPr="000C46DA">
        <w:rPr>
          <w:rFonts w:ascii="Cambria" w:hAnsi="Cambria" w:cs="Theinhardt Regular"/>
          <w:sz w:val="24"/>
          <w:szCs w:val="24"/>
        </w:rPr>
        <w:t xml:space="preserve">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Dóra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Maurer,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Constant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Nieuwenhuys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</w:t>
      </w:r>
      <w:r w:rsidRPr="000C46DA">
        <w:rPr>
          <w:rFonts w:ascii="Cambria" w:hAnsi="Cambria" w:cs="Helvetica"/>
          <w:sz w:val="24"/>
          <w:szCs w:val="24"/>
        </w:rPr>
        <w:t xml:space="preserve">Plágium2000, </w:t>
      </w:r>
      <w:r w:rsidRPr="000C46DA">
        <w:rPr>
          <w:rFonts w:ascii="Cambria" w:hAnsi="Cambria" w:cs="Theinhardt Regular"/>
          <w:sz w:val="24"/>
          <w:szCs w:val="24"/>
        </w:rPr>
        <w:t xml:space="preserve">Alma </w:t>
      </w:r>
      <w:proofErr w:type="spellStart"/>
      <w:r w:rsidRPr="000C46DA">
        <w:rPr>
          <w:rFonts w:ascii="Cambria" w:hAnsi="Cambria" w:cs="Theinhardt Regular"/>
          <w:sz w:val="24"/>
          <w:szCs w:val="24"/>
        </w:rPr>
        <w:t>Siedhoff-Buscher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 xml:space="preserve">, kolektyw SIGMA, </w:t>
      </w:r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International 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Parallel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 Union of 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Telecommunication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 (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Trustee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 in 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bankruptcy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>: 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Tamás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 </w:t>
      </w:r>
      <w:proofErr w:type="spellStart"/>
      <w:r w:rsidR="000C46DA" w:rsidRPr="000C46DA">
        <w:rPr>
          <w:rFonts w:ascii="Cambria" w:eastAsia="Theinhardt Regular" w:hAnsi="Cambria" w:cs="Theinhardt Regular"/>
          <w:sz w:val="24"/>
          <w:szCs w:val="24"/>
        </w:rPr>
        <w:t>St.Turba</w:t>
      </w:r>
      <w:proofErr w:type="spellEnd"/>
      <w:r w:rsidR="000C46DA" w:rsidRPr="000C46DA">
        <w:rPr>
          <w:rFonts w:ascii="Cambria" w:eastAsia="Theinhardt Regular" w:hAnsi="Cambria" w:cs="Theinhardt Regular"/>
          <w:sz w:val="24"/>
          <w:szCs w:val="24"/>
        </w:rPr>
        <w:t xml:space="preserve">), </w:t>
      </w:r>
      <w:proofErr w:type="spellStart"/>
      <w:r w:rsidR="000C46DA" w:rsidRPr="000C46DA">
        <w:rPr>
          <w:rFonts w:ascii="Cambria" w:eastAsia="Times New Roman" w:hAnsi="Cambria"/>
          <w:sz w:val="24"/>
          <w:szCs w:val="24"/>
          <w:bdr w:val="none" w:sz="0" w:space="0" w:color="auto"/>
          <w:shd w:val="clear" w:color="auto" w:fill="FFFFFF"/>
        </w:rPr>
        <w:t>Raoul</w:t>
      </w:r>
      <w:proofErr w:type="spellEnd"/>
      <w:r w:rsidR="000C46DA" w:rsidRPr="000C46DA">
        <w:rPr>
          <w:rFonts w:ascii="Cambria" w:eastAsia="Times New Roman" w:hAnsi="Cambria"/>
          <w:sz w:val="24"/>
          <w:szCs w:val="24"/>
          <w:bdr w:val="none" w:sz="0" w:space="0" w:color="auto"/>
          <w:shd w:val="clear" w:color="auto" w:fill="FFFFFF"/>
        </w:rPr>
        <w:t xml:space="preserve"> </w:t>
      </w:r>
      <w:proofErr w:type="spellStart"/>
      <w:r w:rsidR="000C46DA" w:rsidRPr="000C46DA">
        <w:rPr>
          <w:rFonts w:ascii="Cambria" w:eastAsia="Times New Roman" w:hAnsi="Cambria"/>
          <w:sz w:val="24"/>
          <w:szCs w:val="24"/>
          <w:bdr w:val="none" w:sz="0" w:space="0" w:color="auto"/>
          <w:shd w:val="clear" w:color="auto" w:fill="FFFFFF"/>
        </w:rPr>
        <w:t>Vaneigem</w:t>
      </w:r>
      <w:proofErr w:type="spellEnd"/>
      <w:r w:rsidR="000C46DA" w:rsidRPr="000C46DA">
        <w:rPr>
          <w:rFonts w:ascii="Cambria" w:eastAsia="Times New Roman" w:hAnsi="Cambria"/>
          <w:sz w:val="24"/>
          <w:szCs w:val="24"/>
          <w:bdr w:val="none" w:sz="0" w:space="0" w:color="auto"/>
          <w:shd w:val="clear" w:color="auto" w:fill="FFFFFF"/>
        </w:rPr>
        <w:t xml:space="preserve">, </w:t>
      </w:r>
      <w:proofErr w:type="spellStart"/>
      <w:r w:rsidR="000C46DA" w:rsidRPr="000C46DA">
        <w:rPr>
          <w:rFonts w:ascii="Cambria" w:hAnsi="Cambria" w:cs="Theinhardt Regular"/>
          <w:sz w:val="24"/>
          <w:szCs w:val="24"/>
        </w:rPr>
        <w:t>Judit</w:t>
      </w:r>
      <w:proofErr w:type="spellEnd"/>
      <w:r w:rsidR="000C46DA" w:rsidRPr="000C46DA">
        <w:rPr>
          <w:rFonts w:ascii="Cambria" w:hAnsi="Cambria" w:cs="Theinhardt Regular"/>
          <w:sz w:val="24"/>
          <w:szCs w:val="24"/>
        </w:rPr>
        <w:t xml:space="preserve"> </w:t>
      </w:r>
      <w:proofErr w:type="spellStart"/>
      <w:r w:rsidR="000C46DA" w:rsidRPr="000C46DA">
        <w:rPr>
          <w:rFonts w:ascii="Cambria" w:hAnsi="Cambria" w:cs="Theinhardt Regular"/>
          <w:sz w:val="24"/>
          <w:szCs w:val="24"/>
        </w:rPr>
        <w:t>Vas</w:t>
      </w:r>
      <w:proofErr w:type="spellEnd"/>
      <w:r w:rsidR="000C46DA" w:rsidRPr="000C46DA">
        <w:rPr>
          <w:rFonts w:ascii="Cambria" w:hAnsi="Cambria" w:cs="Theinhardt Regular"/>
          <w:sz w:val="24"/>
          <w:szCs w:val="24"/>
        </w:rPr>
        <w:t xml:space="preserve">/Ferenc </w:t>
      </w:r>
      <w:proofErr w:type="spellStart"/>
      <w:r w:rsidR="000C46DA" w:rsidRPr="000C46DA">
        <w:rPr>
          <w:rFonts w:ascii="Cambria" w:hAnsi="Cambria" w:cs="Theinhardt Regular"/>
          <w:sz w:val="24"/>
          <w:szCs w:val="24"/>
        </w:rPr>
        <w:t>Mérei</w:t>
      </w:r>
      <w:proofErr w:type="spellEnd"/>
      <w:r w:rsidRPr="000C46DA">
        <w:rPr>
          <w:rFonts w:ascii="Cambria" w:hAnsi="Cambria" w:cs="Theinhardt Regular"/>
          <w:sz w:val="24"/>
          <w:szCs w:val="24"/>
        </w:rPr>
        <w:t>.</w:t>
      </w:r>
    </w:p>
    <w:p w14:paraId="16D7D223" w14:textId="77777777" w:rsidR="00155DDC" w:rsidRDefault="00155DDC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60F9A0E0" w14:textId="588880EA" w:rsidR="0082479A" w:rsidRPr="00CB3EE1" w:rsidRDefault="00A104BD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Wystawa jest kontynuacją projektu, który był wcześniej pokazywany w Galerie </w:t>
      </w:r>
      <w:proofErr w:type="spellStart"/>
      <w:r w:rsidRPr="00CB3EE1">
        <w:rPr>
          <w:rFonts w:ascii="Cambria" w:hAnsi="Cambria"/>
          <w:sz w:val="24"/>
          <w:szCs w:val="24"/>
        </w:rPr>
        <w:t>für</w:t>
      </w:r>
      <w:proofErr w:type="spellEnd"/>
      <w:r w:rsidRPr="00CB3EE1">
        <w:rPr>
          <w:rFonts w:ascii="Cambria" w:hAnsi="Cambria"/>
          <w:sz w:val="24"/>
          <w:szCs w:val="24"/>
        </w:rPr>
        <w:t xml:space="preserve"> </w:t>
      </w:r>
      <w:proofErr w:type="spellStart"/>
      <w:r w:rsidRPr="00CB3EE1">
        <w:rPr>
          <w:rFonts w:ascii="Cambria" w:hAnsi="Cambria"/>
          <w:sz w:val="24"/>
          <w:szCs w:val="24"/>
        </w:rPr>
        <w:t>Zeitgenössische</w:t>
      </w:r>
      <w:proofErr w:type="spellEnd"/>
      <w:r w:rsidRPr="00CB3EE1">
        <w:rPr>
          <w:rFonts w:ascii="Cambria" w:hAnsi="Cambria"/>
          <w:sz w:val="24"/>
          <w:szCs w:val="24"/>
        </w:rPr>
        <w:t xml:space="preserve"> Kunst w Lipsku (2014) i w tranzit.hu w Budapeszcie (2015).</w:t>
      </w:r>
    </w:p>
    <w:p w14:paraId="314D15D2" w14:textId="77777777" w:rsidR="00A648EF" w:rsidRDefault="00A648EF" w:rsidP="00161721">
      <w:pPr>
        <w:pStyle w:val="Tre"/>
        <w:rPr>
          <w:rFonts w:ascii="Cambria" w:hAnsi="Cambria"/>
          <w:b/>
          <w:sz w:val="24"/>
          <w:szCs w:val="24"/>
        </w:rPr>
      </w:pPr>
    </w:p>
    <w:p w14:paraId="2C9AC7E1" w14:textId="77777777" w:rsidR="00161721" w:rsidRPr="000C46DA" w:rsidRDefault="00161721" w:rsidP="00161721">
      <w:pPr>
        <w:pStyle w:val="Tre"/>
        <w:rPr>
          <w:rFonts w:ascii="Cambria" w:eastAsia="Warsaw" w:hAnsi="Cambria" w:cs="Warsaw"/>
          <w:sz w:val="24"/>
          <w:szCs w:val="24"/>
        </w:rPr>
      </w:pPr>
      <w:r w:rsidRPr="000C46DA">
        <w:rPr>
          <w:rFonts w:ascii="Cambria" w:hAnsi="Cambria"/>
          <w:b/>
          <w:sz w:val="24"/>
          <w:szCs w:val="24"/>
        </w:rPr>
        <w:t>Kuratorki:</w:t>
      </w:r>
      <w:r w:rsidRPr="000C46DA">
        <w:rPr>
          <w:rFonts w:ascii="Cambria" w:hAnsi="Cambri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/>
          <w:sz w:val="24"/>
          <w:szCs w:val="24"/>
        </w:rPr>
        <w:t>Dóra</w:t>
      </w:r>
      <w:proofErr w:type="spellEnd"/>
      <w:r w:rsidRPr="000C46DA">
        <w:rPr>
          <w:rFonts w:ascii="Cambria" w:hAnsi="Cambri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/>
          <w:sz w:val="24"/>
          <w:szCs w:val="24"/>
        </w:rPr>
        <w:t>Hegyi</w:t>
      </w:r>
      <w:proofErr w:type="spellEnd"/>
      <w:r w:rsidRPr="000C46DA">
        <w:rPr>
          <w:rFonts w:ascii="Cambria" w:hAnsi="Cambria"/>
          <w:sz w:val="24"/>
          <w:szCs w:val="24"/>
        </w:rPr>
        <w:t xml:space="preserve">, </w:t>
      </w:r>
      <w:proofErr w:type="spellStart"/>
      <w:r w:rsidRPr="000C46DA">
        <w:rPr>
          <w:rFonts w:ascii="Cambria" w:hAnsi="Cambria"/>
          <w:sz w:val="24"/>
          <w:szCs w:val="24"/>
        </w:rPr>
        <w:t>Zsuzsa</w:t>
      </w:r>
      <w:proofErr w:type="spellEnd"/>
      <w:r w:rsidRPr="000C46DA">
        <w:rPr>
          <w:rFonts w:ascii="Cambria" w:hAnsi="Cambri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/>
          <w:sz w:val="24"/>
          <w:szCs w:val="24"/>
        </w:rPr>
        <w:t>László</w:t>
      </w:r>
      <w:proofErr w:type="spellEnd"/>
    </w:p>
    <w:p w14:paraId="48F2D229" w14:textId="77777777" w:rsidR="00161721" w:rsidRPr="000C46DA" w:rsidRDefault="00161721" w:rsidP="00161721">
      <w:pPr>
        <w:pStyle w:val="Tre"/>
        <w:rPr>
          <w:rFonts w:ascii="Cambria" w:eastAsia="Warsaw" w:hAnsi="Cambria" w:cs="Warsaw"/>
          <w:sz w:val="24"/>
          <w:szCs w:val="24"/>
        </w:rPr>
      </w:pPr>
      <w:r w:rsidRPr="000C46DA">
        <w:rPr>
          <w:rFonts w:ascii="Cambria" w:hAnsi="Cambria"/>
          <w:b/>
          <w:sz w:val="24"/>
          <w:szCs w:val="24"/>
        </w:rPr>
        <w:t>Współpraca kuratorska:</w:t>
      </w:r>
      <w:r w:rsidRPr="000C46DA">
        <w:rPr>
          <w:rFonts w:ascii="Cambria" w:hAnsi="Cambria"/>
          <w:sz w:val="24"/>
          <w:szCs w:val="24"/>
        </w:rPr>
        <w:t xml:space="preserve"> Aleksandra Kędziorek, </w:t>
      </w:r>
      <w:proofErr w:type="spellStart"/>
      <w:r w:rsidRPr="000C46DA">
        <w:rPr>
          <w:rFonts w:ascii="Cambria" w:hAnsi="Cambria"/>
          <w:sz w:val="24"/>
          <w:szCs w:val="24"/>
        </w:rPr>
        <w:t>Franciska</w:t>
      </w:r>
      <w:proofErr w:type="spellEnd"/>
      <w:r w:rsidRPr="000C46DA">
        <w:rPr>
          <w:rFonts w:ascii="Cambria" w:hAnsi="Cambria"/>
          <w:sz w:val="24"/>
          <w:szCs w:val="24"/>
        </w:rPr>
        <w:t xml:space="preserve"> </w:t>
      </w:r>
      <w:proofErr w:type="spellStart"/>
      <w:r w:rsidRPr="000C46DA">
        <w:rPr>
          <w:rFonts w:ascii="Cambria" w:hAnsi="Cambria"/>
          <w:sz w:val="24"/>
          <w:szCs w:val="24"/>
        </w:rPr>
        <w:t>Zólyom</w:t>
      </w:r>
      <w:proofErr w:type="spellEnd"/>
    </w:p>
    <w:p w14:paraId="3EA1487E" w14:textId="5D169823" w:rsidR="000C46DA" w:rsidRPr="000C46DA" w:rsidRDefault="00161721" w:rsidP="000C46DA">
      <w:pPr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</w:pPr>
      <w:proofErr w:type="spellStart"/>
      <w:r w:rsidRPr="000C46DA">
        <w:rPr>
          <w:rFonts w:ascii="Cambria" w:hAnsi="Cambria"/>
          <w:b/>
        </w:rPr>
        <w:t>Współpraca</w:t>
      </w:r>
      <w:proofErr w:type="spellEnd"/>
      <w:r w:rsidRPr="000C46DA">
        <w:rPr>
          <w:rFonts w:ascii="Cambria" w:hAnsi="Cambria"/>
          <w:b/>
        </w:rPr>
        <w:t>:</w:t>
      </w:r>
      <w:r w:rsidRPr="000C46DA">
        <w:rPr>
          <w:rFonts w:ascii="Cambria" w:hAnsi="Cambria"/>
        </w:rPr>
        <w:t xml:space="preserve"> Alina </w:t>
      </w:r>
      <w:proofErr w:type="spellStart"/>
      <w:r w:rsidRPr="000C46DA">
        <w:rPr>
          <w:rFonts w:ascii="Cambria" w:hAnsi="Cambria"/>
        </w:rPr>
        <w:t>Serban</w:t>
      </w:r>
      <w:proofErr w:type="spellEnd"/>
      <w:r w:rsidRPr="000C46DA">
        <w:rPr>
          <w:rFonts w:ascii="Cambria" w:hAnsi="Cambria"/>
        </w:rPr>
        <w:t xml:space="preserve">, </w:t>
      </w:r>
      <w:proofErr w:type="spellStart"/>
      <w:r w:rsidRPr="000C46DA">
        <w:rPr>
          <w:rFonts w:ascii="Cambria" w:hAnsi="Cambria"/>
        </w:rPr>
        <w:t>Sándor</w:t>
      </w:r>
      <w:proofErr w:type="spellEnd"/>
      <w:r w:rsidRPr="000C46DA">
        <w:rPr>
          <w:rFonts w:ascii="Cambria" w:hAnsi="Cambria"/>
        </w:rPr>
        <w:t xml:space="preserve"> </w:t>
      </w:r>
      <w:proofErr w:type="spellStart"/>
      <w:r w:rsidRPr="000C46DA">
        <w:rPr>
          <w:rFonts w:ascii="Cambria" w:hAnsi="Cambria"/>
        </w:rPr>
        <w:t>Hornyik</w:t>
      </w:r>
      <w:proofErr w:type="spellEnd"/>
      <w:r w:rsidR="000C46DA" w:rsidRPr="000C46DA">
        <w:rPr>
          <w:rFonts w:ascii="Cambria" w:hAnsi="Cambria"/>
        </w:rPr>
        <w:t xml:space="preserve">, </w:t>
      </w:r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Misko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Suvakovíc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,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Artpool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 Art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Research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 Center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Budapest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, Iga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Winczakiewicz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,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Orsolya</w:t>
      </w:r>
      <w:proofErr w:type="spellEnd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="000C46DA"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Barna</w:t>
      </w:r>
      <w:proofErr w:type="spellEnd"/>
    </w:p>
    <w:p w14:paraId="668D7D8E" w14:textId="21B79504" w:rsidR="000C46DA" w:rsidRPr="000C46DA" w:rsidRDefault="000C46DA" w:rsidP="000C46DA">
      <w:pPr>
        <w:rPr>
          <w:rFonts w:ascii="Cambria" w:eastAsia="Times New Roman" w:hAnsi="Cambria"/>
          <w:bdr w:val="none" w:sz="0" w:space="0" w:color="auto"/>
          <w:lang w:val="pl-PL" w:eastAsia="pl-PL"/>
        </w:rPr>
      </w:pPr>
      <w:r w:rsidRPr="000C46DA">
        <w:rPr>
          <w:rFonts w:ascii="Cambria" w:eastAsia="Times New Roman" w:hAnsi="Cambria"/>
          <w:b/>
          <w:color w:val="000000"/>
          <w:bdr w:val="none" w:sz="0" w:space="0" w:color="auto"/>
          <w:shd w:val="clear" w:color="auto" w:fill="FFFFFF"/>
          <w:lang w:val="pl-PL" w:eastAsia="pl-PL"/>
        </w:rPr>
        <w:t>Projekt architektury wystawy:</w:t>
      </w:r>
      <w:r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Tamás</w:t>
      </w:r>
      <w:proofErr w:type="spellEnd"/>
      <w:r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0C46DA">
        <w:rPr>
          <w:rFonts w:ascii="Cambria" w:eastAsia="Times New Roman" w:hAnsi="Cambria"/>
          <w:color w:val="000000"/>
          <w:bdr w:val="none" w:sz="0" w:space="0" w:color="auto"/>
          <w:shd w:val="clear" w:color="auto" w:fill="FFFFFF"/>
          <w:lang w:val="pl-PL" w:eastAsia="pl-PL"/>
        </w:rPr>
        <w:t>Kaszás</w:t>
      </w:r>
      <w:proofErr w:type="spellEnd"/>
    </w:p>
    <w:p w14:paraId="29333591" w14:textId="77777777" w:rsidR="00161721" w:rsidRPr="00CB3EE1" w:rsidRDefault="00161721">
      <w:pPr>
        <w:pStyle w:val="Tre"/>
        <w:rPr>
          <w:rFonts w:ascii="Cambria" w:eastAsia="Warsaw" w:hAnsi="Cambria" w:cs="Warsaw"/>
          <w:sz w:val="24"/>
          <w:szCs w:val="24"/>
        </w:rPr>
      </w:pPr>
    </w:p>
    <w:p w14:paraId="3831EC06" w14:textId="77777777" w:rsidR="00BD6DF8" w:rsidRPr="00CB3EE1" w:rsidRDefault="00DC0AE0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lastRenderedPageBreak/>
        <w:t>Miejsce</w:t>
      </w:r>
    </w:p>
    <w:p w14:paraId="6E38848F" w14:textId="77777777" w:rsidR="00BD6DF8" w:rsidRPr="00CB3EE1" w:rsidRDefault="00DC0AE0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Muzeum Sztuki Nowoczesnej w Warszawie</w:t>
      </w:r>
    </w:p>
    <w:p w14:paraId="09424EC0" w14:textId="562BC90C" w:rsidR="00BD6DF8" w:rsidRPr="00CB3EE1" w:rsidRDefault="00DC0AE0">
      <w:pPr>
        <w:pStyle w:val="Tre"/>
        <w:rPr>
          <w:rFonts w:ascii="Cambria" w:hAnsi="Cambria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Pańska </w:t>
      </w:r>
      <w:r w:rsidR="001016D7" w:rsidRPr="00CB3EE1">
        <w:rPr>
          <w:rFonts w:ascii="Cambria" w:hAnsi="Cambria"/>
          <w:sz w:val="24"/>
          <w:szCs w:val="24"/>
        </w:rPr>
        <w:t xml:space="preserve">3, </w:t>
      </w:r>
      <w:r w:rsidRPr="00CB3EE1">
        <w:rPr>
          <w:rFonts w:ascii="Cambria" w:hAnsi="Cambria"/>
          <w:sz w:val="24"/>
          <w:szCs w:val="24"/>
        </w:rPr>
        <w:t>00</w:t>
      </w:r>
      <w:r w:rsidR="009357C1" w:rsidRPr="00CB3EE1">
        <w:rPr>
          <w:rFonts w:ascii="Cambria" w:hAnsi="Cambria"/>
          <w:sz w:val="24"/>
          <w:szCs w:val="24"/>
        </w:rPr>
        <w:t>-</w:t>
      </w:r>
      <w:r w:rsidRPr="00CB3EE1">
        <w:rPr>
          <w:rFonts w:ascii="Cambria" w:hAnsi="Cambria"/>
          <w:sz w:val="24"/>
          <w:szCs w:val="24"/>
        </w:rPr>
        <w:t>124 Warszawa</w:t>
      </w:r>
    </w:p>
    <w:p w14:paraId="57AD9333" w14:textId="0879453C" w:rsidR="00155DDC" w:rsidRPr="00545DB7" w:rsidRDefault="00155DDC" w:rsidP="00155DDC">
      <w:pPr>
        <w:pStyle w:val="Tre"/>
        <w:rPr>
          <w:rFonts w:ascii="Cambria" w:eastAsia="Warsaw" w:hAnsi="Cambria" w:cs="Warsaw"/>
          <w:sz w:val="24"/>
          <w:szCs w:val="24"/>
        </w:rPr>
      </w:pPr>
      <w:r w:rsidRPr="00545DB7">
        <w:rPr>
          <w:rFonts w:ascii="Cambria" w:eastAsia="Warsaw" w:hAnsi="Cambria" w:cs="Warsaw"/>
          <w:sz w:val="24"/>
          <w:szCs w:val="24"/>
        </w:rPr>
        <w:t>Godziny otwarcia</w:t>
      </w:r>
      <w:r w:rsidR="00545DB7" w:rsidRPr="00545DB7">
        <w:rPr>
          <w:rFonts w:ascii="Cambria" w:eastAsia="Warsaw" w:hAnsi="Cambria" w:cs="Warsaw"/>
          <w:sz w:val="24"/>
          <w:szCs w:val="24"/>
        </w:rPr>
        <w:t xml:space="preserve">: </w:t>
      </w:r>
      <w:r w:rsidRPr="00545DB7">
        <w:rPr>
          <w:rFonts w:ascii="Cambria" w:eastAsia="Warsaw" w:hAnsi="Cambria" w:cs="Warsaw"/>
          <w:sz w:val="24"/>
          <w:szCs w:val="24"/>
        </w:rPr>
        <w:t xml:space="preserve">wtorek–niedziela 12:00–20:00 </w:t>
      </w:r>
    </w:p>
    <w:p w14:paraId="701ED9C4" w14:textId="5368A8B7" w:rsidR="00155DDC" w:rsidRPr="00545DB7" w:rsidRDefault="0082479A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545DB7">
        <w:rPr>
          <w:rFonts w:ascii="Cambria" w:eastAsia="Warsaw" w:hAnsi="Cambria" w:cs="Warsaw"/>
          <w:sz w:val="24"/>
          <w:szCs w:val="24"/>
        </w:rPr>
        <w:t>Bilety</w:t>
      </w:r>
      <w:r w:rsidR="00545DB7" w:rsidRPr="00545DB7">
        <w:rPr>
          <w:rFonts w:ascii="Cambria" w:eastAsia="Warsaw" w:hAnsi="Cambria" w:cs="Warsaw"/>
          <w:sz w:val="24"/>
          <w:szCs w:val="24"/>
        </w:rPr>
        <w:t xml:space="preserve">: </w:t>
      </w:r>
      <w:r w:rsidR="00155DDC" w:rsidRPr="00545DB7">
        <w:rPr>
          <w:rFonts w:ascii="Cambria" w:eastAsia="Warsaw" w:hAnsi="Cambria" w:cs="Warsaw"/>
          <w:sz w:val="24"/>
          <w:szCs w:val="24"/>
        </w:rPr>
        <w:t>wstęp</w:t>
      </w:r>
      <w:r w:rsidR="00155DDC" w:rsidRPr="00CB3EE1">
        <w:rPr>
          <w:rFonts w:ascii="Cambria" w:eastAsia="Warsaw" w:hAnsi="Cambria" w:cs="Warsaw"/>
          <w:sz w:val="24"/>
          <w:szCs w:val="24"/>
        </w:rPr>
        <w:t xml:space="preserve"> </w:t>
      </w:r>
      <w:r w:rsidR="00A648EF">
        <w:rPr>
          <w:rFonts w:ascii="Cambria" w:eastAsia="Warsaw" w:hAnsi="Cambria" w:cs="Warsaw"/>
          <w:sz w:val="24"/>
          <w:szCs w:val="24"/>
        </w:rPr>
        <w:t>wolny na w</w:t>
      </w:r>
      <w:bookmarkStart w:id="0" w:name="_GoBack"/>
      <w:bookmarkEnd w:id="0"/>
      <w:r w:rsidR="00A648EF">
        <w:rPr>
          <w:rFonts w:ascii="Cambria" w:eastAsia="Warsaw" w:hAnsi="Cambria" w:cs="Warsaw"/>
          <w:sz w:val="24"/>
          <w:szCs w:val="24"/>
        </w:rPr>
        <w:t>ystawę, oprowadzania i warsztaty</w:t>
      </w:r>
    </w:p>
    <w:p w14:paraId="620D95CF" w14:textId="77777777" w:rsidR="00545DB7" w:rsidRPr="00545DB7" w:rsidRDefault="00545DB7" w:rsidP="00545DB7">
      <w:pPr>
        <w:pStyle w:val="Tre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www.artmuseum.pl</w:t>
      </w:r>
    </w:p>
    <w:p w14:paraId="0F52E60E" w14:textId="77777777" w:rsidR="00BD6DF8" w:rsidRDefault="00BD6DF8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4F0EDF89" w14:textId="77777777" w:rsidR="0082479A" w:rsidRPr="00CB3EE1" w:rsidRDefault="0082479A" w:rsidP="0082479A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t>Partner wystawy</w:t>
      </w:r>
    </w:p>
    <w:p w14:paraId="08A257B9" w14:textId="77777777" w:rsidR="0082479A" w:rsidRPr="00CB3EE1" w:rsidRDefault="0082479A" w:rsidP="0082479A">
      <w:pPr>
        <w:pStyle w:val="Tre"/>
        <w:rPr>
          <w:rFonts w:ascii="Cambria" w:hAnsi="Cambria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tranzit.hu, Budapeszt</w:t>
      </w:r>
    </w:p>
    <w:p w14:paraId="570C1C96" w14:textId="77777777" w:rsidR="0082479A" w:rsidRPr="00CB3EE1" w:rsidRDefault="0082479A" w:rsidP="0082479A">
      <w:pPr>
        <w:pStyle w:val="TreA"/>
        <w:rPr>
          <w:rFonts w:ascii="Cambria" w:eastAsia="Theinhardt Regular" w:hAnsi="Cambria" w:cs="Theinhardt Regular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Fundacja ERSTE jest głównym partnerem </w:t>
      </w:r>
      <w:proofErr w:type="spellStart"/>
      <w:r w:rsidRPr="00CB3EE1">
        <w:rPr>
          <w:rFonts w:ascii="Cambria" w:hAnsi="Cambria"/>
          <w:sz w:val="24"/>
          <w:szCs w:val="24"/>
        </w:rPr>
        <w:t>tranzit</w:t>
      </w:r>
      <w:proofErr w:type="spellEnd"/>
    </w:p>
    <w:p w14:paraId="06B1922B" w14:textId="77777777" w:rsidR="0082479A" w:rsidRPr="00CB3EE1" w:rsidRDefault="0082479A" w:rsidP="0082479A">
      <w:pPr>
        <w:pStyle w:val="Tre"/>
        <w:rPr>
          <w:rFonts w:ascii="Cambria" w:eastAsia="Warsaw" w:hAnsi="Cambria" w:cs="Warsaw"/>
          <w:sz w:val="24"/>
          <w:szCs w:val="24"/>
        </w:rPr>
      </w:pPr>
    </w:p>
    <w:p w14:paraId="65412FC5" w14:textId="77777777" w:rsidR="0082479A" w:rsidRPr="00CB3EE1" w:rsidRDefault="0082479A" w:rsidP="0082479A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CB3EE1">
        <w:rPr>
          <w:rFonts w:ascii="Cambria" w:eastAsia="Warsaw" w:hAnsi="Cambria" w:cs="Warsaw"/>
          <w:b/>
          <w:sz w:val="24"/>
          <w:szCs w:val="24"/>
        </w:rPr>
        <w:t>Partnerzy medialni</w:t>
      </w:r>
    </w:p>
    <w:p w14:paraId="10D28298" w14:textId="77777777" w:rsidR="0082479A" w:rsidRPr="00CB3EE1" w:rsidRDefault="0082479A" w:rsidP="0082479A">
      <w:pPr>
        <w:pStyle w:val="Tre"/>
        <w:rPr>
          <w:rFonts w:ascii="Cambria" w:eastAsia="Warsaw" w:hAnsi="Cambria" w:cs="Warsaw"/>
          <w:sz w:val="24"/>
          <w:szCs w:val="24"/>
        </w:rPr>
      </w:pPr>
      <w:r w:rsidRPr="00CB3EE1">
        <w:rPr>
          <w:rFonts w:ascii="Cambria" w:eastAsia="Warsaw" w:hAnsi="Cambria" w:cs="Warsaw"/>
          <w:sz w:val="24"/>
          <w:szCs w:val="24"/>
        </w:rPr>
        <w:t>Zwierciadło, Gazeta Wyborcza, Wyborcza.pl Warszawa, Co Jest Grane, TVP Kultura, Trójka</w:t>
      </w:r>
    </w:p>
    <w:p w14:paraId="76E8B584" w14:textId="77777777" w:rsidR="0082479A" w:rsidRPr="00CB3EE1" w:rsidRDefault="0082479A">
      <w:pPr>
        <w:pStyle w:val="Tre"/>
        <w:rPr>
          <w:rFonts w:ascii="Cambria" w:eastAsia="Theinhardt Regular" w:hAnsi="Cambria" w:cs="Theinhardt Regular"/>
          <w:sz w:val="24"/>
          <w:szCs w:val="24"/>
        </w:rPr>
      </w:pPr>
    </w:p>
    <w:p w14:paraId="7A505085" w14:textId="77777777" w:rsidR="00BD6DF8" w:rsidRPr="00CB3EE1" w:rsidRDefault="00DC0AE0">
      <w:pPr>
        <w:pStyle w:val="Tre"/>
        <w:rPr>
          <w:rFonts w:ascii="Cambria" w:eastAsia="Warsaw" w:hAnsi="Cambria" w:cs="Warsaw"/>
          <w:b/>
          <w:sz w:val="24"/>
          <w:szCs w:val="24"/>
        </w:rPr>
      </w:pPr>
      <w:r w:rsidRPr="00CB3EE1">
        <w:rPr>
          <w:rFonts w:ascii="Cambria" w:hAnsi="Cambria"/>
          <w:b/>
          <w:sz w:val="24"/>
          <w:szCs w:val="24"/>
        </w:rPr>
        <w:t>Kontakt dla mediów</w:t>
      </w:r>
    </w:p>
    <w:p w14:paraId="33C2BAE6" w14:textId="5088D1EF" w:rsidR="00DE659C" w:rsidRDefault="00DE659C">
      <w:pPr>
        <w:pStyle w:val="Tre"/>
        <w:rPr>
          <w:rFonts w:ascii="Cambria" w:hAnsi="Cambria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>Arletta Wojtala</w:t>
      </w:r>
    </w:p>
    <w:p w14:paraId="47D27FE8" w14:textId="7181C277" w:rsidR="00C3166A" w:rsidRPr="00CB3EE1" w:rsidRDefault="00C3166A">
      <w:pPr>
        <w:pStyle w:val="Tr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Muzeum Sztuki Nowoczesnej w Warszawie</w:t>
      </w:r>
    </w:p>
    <w:p w14:paraId="42E0F0BF" w14:textId="7E343D21" w:rsidR="00B1291C" w:rsidRPr="00CB3EE1" w:rsidRDefault="00B1291C">
      <w:pPr>
        <w:pStyle w:val="Tre"/>
        <w:rPr>
          <w:rFonts w:ascii="Cambria" w:hAnsi="Cambria"/>
          <w:sz w:val="24"/>
          <w:szCs w:val="24"/>
        </w:rPr>
      </w:pPr>
      <w:r w:rsidRPr="00CB3EE1">
        <w:rPr>
          <w:rFonts w:ascii="Cambria" w:hAnsi="Cambria"/>
          <w:sz w:val="24"/>
          <w:szCs w:val="24"/>
        </w:rPr>
        <w:t xml:space="preserve">tel. </w:t>
      </w:r>
      <w:r w:rsidR="00155DDC" w:rsidRPr="00CB3EE1">
        <w:rPr>
          <w:rFonts w:ascii="Cambria" w:hAnsi="Cambria"/>
          <w:sz w:val="24"/>
          <w:szCs w:val="24"/>
        </w:rPr>
        <w:t xml:space="preserve">+48 </w:t>
      </w:r>
      <w:r w:rsidRPr="00CB3EE1">
        <w:rPr>
          <w:rFonts w:ascii="Cambria" w:hAnsi="Cambria"/>
          <w:sz w:val="24"/>
          <w:szCs w:val="24"/>
        </w:rPr>
        <w:t>535 500 552</w:t>
      </w:r>
    </w:p>
    <w:p w14:paraId="074E9AF0" w14:textId="2F538665" w:rsidR="00B62480" w:rsidRPr="00CB3EE1" w:rsidRDefault="00A648EF">
      <w:pPr>
        <w:pStyle w:val="Tre"/>
        <w:rPr>
          <w:rFonts w:ascii="Cambria" w:eastAsia="Theinhardt Regular" w:hAnsi="Cambria" w:cs="Theinhardt Regular"/>
          <w:sz w:val="24"/>
          <w:szCs w:val="24"/>
          <w:u w:color="0000FF"/>
        </w:rPr>
      </w:pPr>
      <w:r>
        <w:rPr>
          <w:rFonts w:ascii="Cambria" w:hAnsi="Cambria"/>
          <w:sz w:val="24"/>
          <w:szCs w:val="24"/>
        </w:rPr>
        <w:t>arletta.wojtala</w:t>
      </w:r>
      <w:r w:rsidR="00B62480" w:rsidRPr="00CB3EE1">
        <w:rPr>
          <w:rFonts w:ascii="Cambria" w:hAnsi="Cambria"/>
          <w:sz w:val="24"/>
          <w:szCs w:val="24"/>
        </w:rPr>
        <w:t>@artmuseum.pl</w:t>
      </w:r>
    </w:p>
    <w:sectPr w:rsidR="00B62480" w:rsidRPr="00CB3EE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30E3A" w14:textId="77777777" w:rsidR="00380001" w:rsidRDefault="00380001">
      <w:r>
        <w:separator/>
      </w:r>
    </w:p>
  </w:endnote>
  <w:endnote w:type="continuationSeparator" w:id="0">
    <w:p w14:paraId="5BA4D61B" w14:textId="77777777" w:rsidR="00380001" w:rsidRDefault="003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Theinhardt 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C14E" w14:textId="77777777" w:rsidR="00BD6DF8" w:rsidRDefault="00BD6DF8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4596" w14:textId="77777777" w:rsidR="00380001" w:rsidRDefault="00380001">
      <w:r>
        <w:separator/>
      </w:r>
    </w:p>
  </w:footnote>
  <w:footnote w:type="continuationSeparator" w:id="0">
    <w:p w14:paraId="4A2F484C" w14:textId="77777777" w:rsidR="00380001" w:rsidRDefault="00380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BEF" w14:textId="77777777" w:rsidR="00BD6DF8" w:rsidRDefault="00BD6DF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8"/>
    <w:rsid w:val="000134E7"/>
    <w:rsid w:val="00081B00"/>
    <w:rsid w:val="000C46DA"/>
    <w:rsid w:val="001016D7"/>
    <w:rsid w:val="00155DDC"/>
    <w:rsid w:val="00161721"/>
    <w:rsid w:val="001839E9"/>
    <w:rsid w:val="001E0157"/>
    <w:rsid w:val="00205CBF"/>
    <w:rsid w:val="002176D0"/>
    <w:rsid w:val="00217C47"/>
    <w:rsid w:val="00295E33"/>
    <w:rsid w:val="002B3289"/>
    <w:rsid w:val="00335DD2"/>
    <w:rsid w:val="0037247C"/>
    <w:rsid w:val="00380001"/>
    <w:rsid w:val="00403875"/>
    <w:rsid w:val="004517FA"/>
    <w:rsid w:val="00492D97"/>
    <w:rsid w:val="00545DB7"/>
    <w:rsid w:val="00590F92"/>
    <w:rsid w:val="005E1C85"/>
    <w:rsid w:val="00611A11"/>
    <w:rsid w:val="00612D12"/>
    <w:rsid w:val="006619D0"/>
    <w:rsid w:val="0066610B"/>
    <w:rsid w:val="0068116A"/>
    <w:rsid w:val="006D6D07"/>
    <w:rsid w:val="006E773A"/>
    <w:rsid w:val="00700A30"/>
    <w:rsid w:val="0082479A"/>
    <w:rsid w:val="00827253"/>
    <w:rsid w:val="008465E8"/>
    <w:rsid w:val="0085548C"/>
    <w:rsid w:val="0087528D"/>
    <w:rsid w:val="008E08FC"/>
    <w:rsid w:val="00905EF7"/>
    <w:rsid w:val="009357C1"/>
    <w:rsid w:val="0095581A"/>
    <w:rsid w:val="0096518B"/>
    <w:rsid w:val="0098218B"/>
    <w:rsid w:val="009F4237"/>
    <w:rsid w:val="009F68F4"/>
    <w:rsid w:val="00A104BD"/>
    <w:rsid w:val="00A648EF"/>
    <w:rsid w:val="00A73C57"/>
    <w:rsid w:val="00AA7526"/>
    <w:rsid w:val="00AC2164"/>
    <w:rsid w:val="00B1291C"/>
    <w:rsid w:val="00B551CB"/>
    <w:rsid w:val="00B62480"/>
    <w:rsid w:val="00B951B6"/>
    <w:rsid w:val="00BD6DF8"/>
    <w:rsid w:val="00C055A5"/>
    <w:rsid w:val="00C3166A"/>
    <w:rsid w:val="00C954A2"/>
    <w:rsid w:val="00CB3EE1"/>
    <w:rsid w:val="00CC04AC"/>
    <w:rsid w:val="00CD2317"/>
    <w:rsid w:val="00D5243B"/>
    <w:rsid w:val="00D7174A"/>
    <w:rsid w:val="00DC0AE0"/>
    <w:rsid w:val="00DE1464"/>
    <w:rsid w:val="00DE659C"/>
    <w:rsid w:val="00DF762D"/>
    <w:rsid w:val="00F61DA8"/>
    <w:rsid w:val="00F70932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99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8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8B"/>
    <w:rPr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D0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D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D07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D0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D07"/>
    <w:rPr>
      <w:b/>
      <w:bCs/>
      <w:sz w:val="24"/>
      <w:szCs w:val="24"/>
      <w:lang w:val="en-US" w:eastAsia="en-US"/>
    </w:rPr>
  </w:style>
  <w:style w:type="paragraph" w:customStyle="1" w:styleId="TreA">
    <w:name w:val="Treść A"/>
    <w:rsid w:val="00295E33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65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659C"/>
    <w:rPr>
      <w:sz w:val="24"/>
      <w:szCs w:val="24"/>
      <w:lang w:val="en-US"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E6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4255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Arletta Wojtala</cp:lastModifiedBy>
  <cp:revision>7</cp:revision>
  <cp:lastPrinted>2016-06-08T15:41:00Z</cp:lastPrinted>
  <dcterms:created xsi:type="dcterms:W3CDTF">2016-06-13T18:15:00Z</dcterms:created>
  <dcterms:modified xsi:type="dcterms:W3CDTF">2016-06-24T11:39:00Z</dcterms:modified>
</cp:coreProperties>
</file>