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781" w:type="dxa"/>
        <w:tblLook w:val="04A0" w:firstRow="1" w:lastRow="0" w:firstColumn="1" w:lastColumn="0" w:noHBand="0" w:noVBand="1"/>
      </w:tblPr>
      <w:tblGrid>
        <w:gridCol w:w="4253"/>
        <w:gridCol w:w="5528"/>
      </w:tblGrid>
      <w:tr w:rsidR="00E629FD" w:rsidRPr="00C95D89" w:rsidTr="007D6D0B">
        <w:trPr>
          <w:trHeight w:val="2400"/>
        </w:trPr>
        <w:tc>
          <w:tcPr>
            <w:tcW w:w="4253" w:type="dxa"/>
            <w:tcBorders>
              <w:top w:val="nil"/>
              <w:left w:val="nil"/>
              <w:bottom w:val="nil"/>
              <w:right w:val="nil"/>
            </w:tcBorders>
          </w:tcPr>
          <w:p w:rsidR="00E629FD" w:rsidRPr="00C95D89" w:rsidRDefault="00C95D89"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r w:rsidRPr="00C95D89">
              <w:rPr>
                <w:rFonts w:ascii="Theinhardt Light" w:hAnsi="Theinhardt Light"/>
                <w:b/>
                <w:bCs/>
                <w:color w:val="auto"/>
                <w:sz w:val="24"/>
                <w:szCs w:val="24"/>
                <w:u w:color="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78.75pt;height:177pt">
                  <v:imagedata r:id="rId7" o:title="m-dluga-en"/>
                </v:shape>
              </w:pict>
            </w:r>
          </w:p>
          <w:p w:rsidR="007D6D0B" w:rsidRPr="00C95D89" w:rsidRDefault="007D6D0B"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p>
        </w:tc>
        <w:tc>
          <w:tcPr>
            <w:tcW w:w="5528" w:type="dxa"/>
            <w:tcBorders>
              <w:top w:val="nil"/>
              <w:left w:val="nil"/>
              <w:bottom w:val="nil"/>
              <w:right w:val="nil"/>
            </w:tcBorders>
          </w:tcPr>
          <w:p w:rsidR="004E5AD1" w:rsidRPr="00C95D89" w:rsidRDefault="004E5AD1" w:rsidP="004E5AD1">
            <w:pPr>
              <w:pStyle w:val="LO-normal"/>
              <w:jc w:val="right"/>
              <w:rPr>
                <w:rFonts w:ascii="Theinhardt Light" w:hAnsi="Theinhardt Light"/>
                <w:b/>
                <w:sz w:val="24"/>
                <w:szCs w:val="24"/>
              </w:rPr>
            </w:pPr>
          </w:p>
          <w:p w:rsidR="004E5AD1" w:rsidRPr="00C95D89" w:rsidRDefault="00C95D89" w:rsidP="004E5AD1">
            <w:pPr>
              <w:pStyle w:val="LO-normal"/>
              <w:jc w:val="right"/>
              <w:rPr>
                <w:rFonts w:ascii="Theinhardt Medium" w:hAnsi="Theinhardt Medium"/>
                <w:b/>
                <w:sz w:val="24"/>
                <w:szCs w:val="24"/>
              </w:rPr>
            </w:pPr>
            <w:r w:rsidRPr="00C95D89">
              <w:rPr>
                <w:rFonts w:ascii="Theinhardt Medium" w:hAnsi="Theinhardt Medium"/>
                <w:b/>
                <w:sz w:val="24"/>
                <w:szCs w:val="24"/>
              </w:rPr>
              <w:t>PRESS RELEASE</w:t>
            </w:r>
          </w:p>
          <w:p w:rsidR="004E5AD1" w:rsidRPr="00C95D89" w:rsidRDefault="004E5AD1" w:rsidP="004E5AD1">
            <w:pPr>
              <w:pStyle w:val="LO-normal"/>
              <w:jc w:val="right"/>
              <w:rPr>
                <w:rFonts w:ascii="Theinhardt Medium" w:hAnsi="Theinhardt Medium"/>
                <w:b/>
                <w:sz w:val="24"/>
                <w:szCs w:val="24"/>
              </w:rPr>
            </w:pPr>
          </w:p>
          <w:p w:rsidR="00C95D89" w:rsidRPr="00C95D89" w:rsidRDefault="00C95D89" w:rsidP="004E5AD1">
            <w:pPr>
              <w:pStyle w:val="LO-normal"/>
              <w:jc w:val="right"/>
              <w:rPr>
                <w:rFonts w:ascii="Theinhardt Medium" w:hAnsi="Theinhardt Medium"/>
                <w:b/>
                <w:sz w:val="24"/>
                <w:szCs w:val="24"/>
              </w:rPr>
            </w:pPr>
            <w:r w:rsidRPr="00C95D89">
              <w:rPr>
                <w:rFonts w:ascii="Theinhardt Medium" w:hAnsi="Theinhardt Medium"/>
                <w:b/>
                <w:sz w:val="24"/>
                <w:szCs w:val="24"/>
              </w:rPr>
              <w:t>Oskar and Zofia Hansen</w:t>
            </w:r>
          </w:p>
          <w:p w:rsidR="00C95D89" w:rsidRPr="00C95D89" w:rsidRDefault="00C95D89" w:rsidP="004E5AD1">
            <w:pPr>
              <w:pStyle w:val="LO-normal"/>
              <w:jc w:val="right"/>
              <w:rPr>
                <w:rFonts w:ascii="Theinhardt Medium" w:hAnsi="Theinhardt Medium"/>
                <w:b/>
                <w:sz w:val="24"/>
                <w:szCs w:val="24"/>
              </w:rPr>
            </w:pPr>
            <w:r w:rsidRPr="00C95D89">
              <w:rPr>
                <w:rFonts w:ascii="Theinhardt Medium" w:hAnsi="Theinhardt Medium"/>
                <w:b/>
                <w:sz w:val="24"/>
                <w:szCs w:val="24"/>
              </w:rPr>
              <w:t>Open Form</w:t>
            </w:r>
          </w:p>
          <w:p w:rsidR="004E5AD1" w:rsidRPr="00C95D89" w:rsidRDefault="004E5AD1" w:rsidP="004E5AD1">
            <w:pPr>
              <w:pStyle w:val="LO-normal"/>
              <w:jc w:val="right"/>
              <w:rPr>
                <w:rFonts w:ascii="Theinhardt Medium" w:hAnsi="Theinhardt Medium"/>
                <w:sz w:val="24"/>
                <w:szCs w:val="24"/>
              </w:rPr>
            </w:pPr>
          </w:p>
          <w:p w:rsidR="004E5AD1" w:rsidRPr="00C95D89" w:rsidRDefault="00CF737D" w:rsidP="004E5AD1">
            <w:pPr>
              <w:pStyle w:val="LO-normal"/>
              <w:jc w:val="right"/>
              <w:rPr>
                <w:rFonts w:ascii="Theinhardt Medium" w:hAnsi="Theinhardt Medium"/>
                <w:sz w:val="24"/>
                <w:szCs w:val="24"/>
              </w:rPr>
            </w:pPr>
            <w:r w:rsidRPr="00C95D89">
              <w:rPr>
                <w:rFonts w:ascii="Theinhardt Medium" w:hAnsi="Theinhardt Medium"/>
                <w:sz w:val="24"/>
                <w:szCs w:val="24"/>
              </w:rPr>
              <w:t>15</w:t>
            </w:r>
            <w:r w:rsidR="00C95D89" w:rsidRPr="00C95D89">
              <w:rPr>
                <w:rFonts w:ascii="Theinhardt Medium" w:hAnsi="Theinhardt Medium"/>
                <w:sz w:val="24"/>
                <w:szCs w:val="24"/>
              </w:rPr>
              <w:t>.09.2017– 29.10.</w:t>
            </w:r>
            <w:r w:rsidR="004E5AD1" w:rsidRPr="00C95D89">
              <w:rPr>
                <w:rFonts w:ascii="Theinhardt Medium" w:hAnsi="Theinhardt Medium"/>
                <w:sz w:val="24"/>
                <w:szCs w:val="24"/>
              </w:rPr>
              <w:t>2017</w:t>
            </w:r>
          </w:p>
          <w:p w:rsidR="004E5AD1" w:rsidRPr="00C95D89" w:rsidRDefault="004E5AD1" w:rsidP="004E5AD1">
            <w:pPr>
              <w:pStyle w:val="LO-normal"/>
              <w:jc w:val="right"/>
              <w:rPr>
                <w:rFonts w:ascii="Theinhardt Medium" w:hAnsi="Theinhardt Medium"/>
                <w:sz w:val="24"/>
                <w:szCs w:val="24"/>
              </w:rPr>
            </w:pPr>
          </w:p>
          <w:p w:rsidR="004E5AD1" w:rsidRPr="00C95D89" w:rsidRDefault="00C95D89" w:rsidP="004E5AD1">
            <w:pPr>
              <w:pStyle w:val="LO-normal"/>
              <w:jc w:val="right"/>
              <w:rPr>
                <w:rFonts w:ascii="Theinhardt Medium" w:hAnsi="Theinhardt Medium"/>
                <w:sz w:val="24"/>
                <w:szCs w:val="24"/>
              </w:rPr>
            </w:pPr>
            <w:proofErr w:type="spellStart"/>
            <w:r w:rsidRPr="00C95D89">
              <w:rPr>
                <w:rFonts w:ascii="Theinhardt Medium" w:hAnsi="Theinhardt Medium"/>
                <w:sz w:val="24"/>
                <w:szCs w:val="24"/>
              </w:rPr>
              <w:t>Museum</w:t>
            </w:r>
            <w:proofErr w:type="spellEnd"/>
            <w:r w:rsidRPr="00C95D89">
              <w:rPr>
                <w:rFonts w:ascii="Theinhardt Medium" w:hAnsi="Theinhardt Medium"/>
                <w:sz w:val="24"/>
                <w:szCs w:val="24"/>
              </w:rPr>
              <w:t xml:space="preserve"> on the Vistula</w:t>
            </w:r>
          </w:p>
          <w:p w:rsidR="004E5AD1" w:rsidRPr="00C95D89" w:rsidRDefault="004E5AD1" w:rsidP="004E5AD1">
            <w:pPr>
              <w:pStyle w:val="LO-normal"/>
              <w:jc w:val="right"/>
              <w:rPr>
                <w:rFonts w:ascii="Theinhardt Medium" w:hAnsi="Theinhardt Medium"/>
                <w:sz w:val="24"/>
                <w:szCs w:val="24"/>
              </w:rPr>
            </w:pPr>
            <w:r w:rsidRPr="00C95D89">
              <w:rPr>
                <w:rFonts w:ascii="Theinhardt Medium" w:hAnsi="Theinhardt Medium"/>
                <w:sz w:val="24"/>
                <w:szCs w:val="24"/>
              </w:rPr>
              <w:t>Wybrzeże Kościuszkowskie 22</w:t>
            </w:r>
          </w:p>
          <w:p w:rsidR="004E5AD1" w:rsidRPr="00C95D89" w:rsidRDefault="004E5AD1" w:rsidP="00C95D89">
            <w:pPr>
              <w:pStyle w:val="LO-normal"/>
              <w:rPr>
                <w:rFonts w:ascii="Theinhardt Light" w:hAnsi="Theinhardt Light"/>
                <w:sz w:val="24"/>
                <w:szCs w:val="24"/>
              </w:rPr>
            </w:pPr>
          </w:p>
          <w:p w:rsidR="00E629FD" w:rsidRPr="00C95D89" w:rsidRDefault="00E629FD" w:rsidP="00D61E64">
            <w:pPr>
              <w:pStyle w:val="Domylne"/>
              <w:ind w:right="166"/>
              <w:jc w:val="right"/>
              <w:rPr>
                <w:rFonts w:ascii="Theinhardt Light" w:hAnsi="Theinhardt Light"/>
                <w:b/>
                <w:bCs/>
                <w:color w:val="auto"/>
                <w:sz w:val="24"/>
                <w:szCs w:val="24"/>
                <w:u w:color="222222"/>
              </w:rPr>
            </w:pPr>
          </w:p>
        </w:tc>
      </w:tr>
    </w:tbl>
    <w:p w:rsidR="00C95D89" w:rsidRPr="00C95D89" w:rsidRDefault="00C95D89" w:rsidP="0006390B">
      <w:pPr>
        <w:pStyle w:val="LO-normal"/>
        <w:jc w:val="both"/>
        <w:rPr>
          <w:rFonts w:ascii="Theinhardt Light" w:hAnsi="Theinhardt Light"/>
          <w:b/>
          <w:bCs/>
          <w:sz w:val="24"/>
          <w:szCs w:val="24"/>
        </w:rPr>
      </w:pPr>
    </w:p>
    <w:p w:rsidR="00C95D89" w:rsidRPr="00C95D89" w:rsidRDefault="00C95D89" w:rsidP="00657D1E">
      <w:pPr>
        <w:spacing w:line="276" w:lineRule="auto"/>
        <w:jc w:val="both"/>
        <w:rPr>
          <w:rFonts w:ascii="Theinhardt Medium" w:eastAsia="Arial" w:hAnsi="Theinhardt Medium" w:cs="Arial"/>
        </w:rPr>
      </w:pPr>
      <w:r w:rsidRPr="00C95D89">
        <w:rPr>
          <w:rFonts w:ascii="Theinhardt Medium" w:eastAsia="Arial" w:hAnsi="Theinhardt Medium" w:cs="Arial"/>
          <w:color w:val="000000"/>
        </w:rPr>
        <w:t>The exhibition of Oskar a</w:t>
      </w:r>
      <w:bookmarkStart w:id="0" w:name="_GoBack"/>
      <w:bookmarkEnd w:id="0"/>
      <w:r w:rsidRPr="00C95D89">
        <w:rPr>
          <w:rFonts w:ascii="Theinhardt Medium" w:eastAsia="Arial" w:hAnsi="Theinhardt Medium" w:cs="Arial"/>
          <w:color w:val="000000"/>
        </w:rPr>
        <w:t xml:space="preserve">nd </w:t>
      </w:r>
      <w:proofErr w:type="spellStart"/>
      <w:r w:rsidRPr="00C95D89">
        <w:rPr>
          <w:rFonts w:ascii="Theinhardt Medium" w:eastAsia="Arial" w:hAnsi="Theinhardt Medium" w:cs="Arial"/>
          <w:color w:val="000000"/>
        </w:rPr>
        <w:t>Zofia</w:t>
      </w:r>
      <w:proofErr w:type="spellEnd"/>
      <w:r w:rsidRPr="00C95D89">
        <w:rPr>
          <w:rFonts w:ascii="Theinhardt Medium" w:eastAsia="Arial" w:hAnsi="Theinhardt Medium" w:cs="Arial"/>
          <w:color w:val="000000"/>
        </w:rPr>
        <w:t xml:space="preserve"> Hansen’s legacy showcases various aspects of the Open Form theory, which was the axis of their architectural, artistic and educational work.</w:t>
      </w:r>
    </w:p>
    <w:p w:rsidR="00C95D89" w:rsidRPr="00C95D89" w:rsidRDefault="00C95D89" w:rsidP="00657D1E">
      <w:pPr>
        <w:spacing w:line="276" w:lineRule="auto"/>
        <w:jc w:val="both"/>
        <w:rPr>
          <w:rFonts w:ascii="Theinhardt Light" w:eastAsia="Arial" w:hAnsi="Theinhardt Light" w:cs="Arial"/>
        </w:rPr>
      </w:pPr>
    </w:p>
    <w:p w:rsidR="00C95D89" w:rsidRPr="00657D1E" w:rsidRDefault="00C95D89" w:rsidP="00657D1E">
      <w:pPr>
        <w:spacing w:line="276" w:lineRule="auto"/>
        <w:jc w:val="both"/>
        <w:rPr>
          <w:rFonts w:ascii="Theinhardt Light" w:eastAsia="Arial" w:hAnsi="Theinhardt Light" w:cs="Arial"/>
          <w:color w:val="000000"/>
        </w:rPr>
      </w:pPr>
      <w:r w:rsidRPr="00657D1E">
        <w:rPr>
          <w:rFonts w:ascii="Theinhardt Light" w:eastAsia="Arial" w:hAnsi="Theinhardt Light" w:cs="Arial"/>
          <w:color w:val="000000"/>
        </w:rPr>
        <w:t xml:space="preserve">Presented by Oskar Hansen during the International Congress of Modern Architecture (CIAM) held in </w:t>
      </w:r>
      <w:proofErr w:type="spellStart"/>
      <w:r w:rsidRPr="00657D1E">
        <w:rPr>
          <w:rFonts w:ascii="Theinhardt Light" w:eastAsia="Arial" w:hAnsi="Theinhardt Light" w:cs="Arial"/>
          <w:color w:val="000000"/>
        </w:rPr>
        <w:t>Otterlo</w:t>
      </w:r>
      <w:proofErr w:type="spellEnd"/>
      <w:r w:rsidRPr="00657D1E">
        <w:rPr>
          <w:rFonts w:ascii="Theinhardt Light" w:eastAsia="Arial" w:hAnsi="Theinhardt Light" w:cs="Arial"/>
          <w:color w:val="000000"/>
        </w:rPr>
        <w:t xml:space="preserve"> in 1959, the theory of Open Form proposed to open architecture up to its users and allow them to co-create it. Hansen fought against what he defined as Closed Form, that is fully designed structures leaving no space for users’ creativity and constituting rather a monument to their authors than a comfortable living space. Instead, Hansen put forward a radical change in the perception of the architect’s role which, in his opinion, should consist in creating a </w:t>
      </w:r>
      <w:proofErr w:type="spellStart"/>
      <w:r w:rsidRPr="00657D1E">
        <w:rPr>
          <w:rFonts w:ascii="Theinhardt Light" w:eastAsia="Arial" w:hAnsi="Theinhardt Light" w:cs="Arial"/>
          <w:i/>
          <w:color w:val="000000"/>
        </w:rPr>
        <w:t>passepartout</w:t>
      </w:r>
      <w:proofErr w:type="spellEnd"/>
      <w:r w:rsidRPr="00657D1E">
        <w:rPr>
          <w:rFonts w:ascii="Theinhardt Light" w:eastAsia="Arial" w:hAnsi="Theinhardt Light" w:cs="Arial"/>
          <w:color w:val="000000"/>
        </w:rPr>
        <w:t xml:space="preserve">, a background for everyday life. The mission of architecture should be showcasing people and the richness of their daily activity in space. Architecture should highlight subjectivity and create a framework for individual expression, become an instrument that can be used and transformed by its users and that can easily adapt to their changing needs. </w:t>
      </w:r>
    </w:p>
    <w:p w:rsidR="00C95D89" w:rsidRPr="00657D1E" w:rsidRDefault="00C95D89" w:rsidP="00657D1E">
      <w:pPr>
        <w:spacing w:line="276" w:lineRule="auto"/>
        <w:jc w:val="both"/>
        <w:rPr>
          <w:rFonts w:ascii="Theinhardt Light" w:eastAsia="Arial" w:hAnsi="Theinhardt Light" w:cs="Arial"/>
          <w:color w:val="000000"/>
        </w:rPr>
      </w:pPr>
    </w:p>
    <w:p w:rsidR="00C95D89" w:rsidRPr="00657D1E" w:rsidRDefault="00C95D89" w:rsidP="00657D1E">
      <w:pPr>
        <w:shd w:val="clear" w:color="auto" w:fill="FFFFFF"/>
        <w:spacing w:after="120" w:line="276" w:lineRule="auto"/>
        <w:jc w:val="both"/>
        <w:rPr>
          <w:rFonts w:ascii="Theinhardt Light" w:eastAsia="Times New Roman" w:hAnsi="Theinhardt Light"/>
          <w:color w:val="000000"/>
          <w:lang w:val="en-GB" w:eastAsia="pl-PL"/>
        </w:rPr>
      </w:pPr>
      <w:r w:rsidRPr="00657D1E">
        <w:rPr>
          <w:rFonts w:ascii="Theinhardt Light" w:eastAsia="Times New Roman" w:hAnsi="Theinhardt Light"/>
          <w:color w:val="000000"/>
          <w:lang w:val="en-GB" w:eastAsia="pl-PL"/>
        </w:rPr>
        <w:t xml:space="preserve">Oskar Hansen expanded on the concept of Open Form in projects of varying scale: from designs of temporary exhibition pavilions and residential estates to the Linear Continuous System, a design of linear cities stretching across the entire territory of Poland, from the Baltic to the </w:t>
      </w:r>
      <w:proofErr w:type="spellStart"/>
      <w:r w:rsidRPr="00657D1E">
        <w:rPr>
          <w:rFonts w:ascii="Theinhardt Light" w:eastAsia="Times New Roman" w:hAnsi="Theinhardt Light"/>
          <w:color w:val="000000"/>
          <w:lang w:val="en-GB" w:eastAsia="pl-PL"/>
        </w:rPr>
        <w:t>Tatras</w:t>
      </w:r>
      <w:proofErr w:type="spellEnd"/>
      <w:r w:rsidRPr="00657D1E">
        <w:rPr>
          <w:rFonts w:ascii="Theinhardt Light" w:eastAsia="Times New Roman" w:hAnsi="Theinhardt Light"/>
          <w:color w:val="000000"/>
          <w:lang w:val="en-GB" w:eastAsia="pl-PL"/>
        </w:rPr>
        <w:t xml:space="preserve">. His wife, </w:t>
      </w:r>
      <w:proofErr w:type="spellStart"/>
      <w:r w:rsidRPr="00657D1E">
        <w:rPr>
          <w:rFonts w:ascii="Theinhardt Light" w:eastAsia="Times New Roman" w:hAnsi="Theinhardt Light"/>
          <w:color w:val="000000"/>
          <w:lang w:val="en-GB" w:eastAsia="pl-PL"/>
        </w:rPr>
        <w:t>Zofia</w:t>
      </w:r>
      <w:proofErr w:type="spellEnd"/>
      <w:r w:rsidRPr="00657D1E">
        <w:rPr>
          <w:rFonts w:ascii="Theinhardt Light" w:eastAsia="Times New Roman" w:hAnsi="Theinhardt Light"/>
          <w:color w:val="000000"/>
          <w:lang w:val="en-GB" w:eastAsia="pl-PL"/>
        </w:rPr>
        <w:t xml:space="preserve"> </w:t>
      </w:r>
      <w:proofErr w:type="spellStart"/>
      <w:r w:rsidRPr="00657D1E">
        <w:rPr>
          <w:rFonts w:ascii="Theinhardt Light" w:eastAsia="Times New Roman" w:hAnsi="Theinhardt Light"/>
          <w:color w:val="000000"/>
          <w:lang w:val="en-GB" w:eastAsia="pl-PL"/>
        </w:rPr>
        <w:t>Garlińska</w:t>
      </w:r>
      <w:proofErr w:type="spellEnd"/>
      <w:r w:rsidRPr="00657D1E">
        <w:rPr>
          <w:rFonts w:ascii="Theinhardt Light" w:eastAsia="Times New Roman" w:hAnsi="Theinhardt Light"/>
          <w:color w:val="000000"/>
          <w:lang w:val="en-GB" w:eastAsia="pl-PL"/>
        </w:rPr>
        <w:t>-Hansen (1924–2013), was the co-author of many of these designs, in particular the residential estates that were built. Affiliated with the Warsaw Residential Cooperative, she typically remained in her husband’s shadow, but he often stressed her involvement in creating Open Form.</w:t>
      </w:r>
    </w:p>
    <w:p w:rsidR="00C95D89" w:rsidRPr="00657D1E" w:rsidRDefault="00C95D89" w:rsidP="00657D1E">
      <w:pPr>
        <w:spacing w:line="276" w:lineRule="auto"/>
        <w:jc w:val="both"/>
        <w:rPr>
          <w:rFonts w:ascii="Theinhardt Light" w:eastAsia="Arial" w:hAnsi="Theinhardt Light" w:cs="Arial"/>
        </w:rPr>
      </w:pPr>
    </w:p>
    <w:p w:rsidR="00940A88" w:rsidRPr="00657D1E" w:rsidRDefault="00940A88" w:rsidP="00657D1E">
      <w:pPr>
        <w:shd w:val="clear" w:color="auto" w:fill="FFFFFF"/>
        <w:spacing w:after="120" w:line="276" w:lineRule="auto"/>
        <w:jc w:val="both"/>
        <w:rPr>
          <w:rFonts w:ascii="Theinhardt Light" w:eastAsia="Times New Roman" w:hAnsi="Theinhardt Light"/>
          <w:color w:val="000000"/>
          <w:lang w:val="en-GB" w:eastAsia="pl-PL"/>
        </w:rPr>
      </w:pPr>
      <w:r w:rsidRPr="00657D1E">
        <w:rPr>
          <w:rFonts w:ascii="Theinhardt Light" w:eastAsia="Times New Roman" w:hAnsi="Theinhardt Light"/>
          <w:color w:val="000000"/>
          <w:lang w:val="en-GB" w:eastAsia="pl-PL"/>
        </w:rPr>
        <w:t>The exhibition displays various areas and scales of creative activity in which Open Form was applied.</w:t>
      </w:r>
      <w:r w:rsidRPr="00657D1E">
        <w:rPr>
          <w:rFonts w:ascii="Theinhardt Light" w:eastAsia="Times New Roman" w:hAnsi="Theinhardt Light"/>
          <w:i/>
          <w:iCs/>
          <w:color w:val="000000"/>
          <w:lang w:val="en-GB" w:eastAsia="pl-PL"/>
        </w:rPr>
        <w:t xml:space="preserve"> Background of Events </w:t>
      </w:r>
      <w:r w:rsidRPr="00657D1E">
        <w:rPr>
          <w:rFonts w:ascii="Theinhardt Light" w:eastAsia="Times New Roman" w:hAnsi="Theinhardt Light"/>
          <w:iCs/>
          <w:color w:val="000000"/>
          <w:lang w:val="en-GB" w:eastAsia="pl-PL"/>
        </w:rPr>
        <w:t>focuses on designs for exhibitions and pavilions, which offered an ideal ground for theoretical experiments due to their ephemeral character</w:t>
      </w:r>
      <w:r w:rsidRPr="00657D1E">
        <w:rPr>
          <w:rFonts w:ascii="Theinhardt Light" w:eastAsia="Times New Roman" w:hAnsi="Theinhardt Light"/>
          <w:color w:val="000000"/>
          <w:lang w:val="en-GB" w:eastAsia="pl-PL"/>
        </w:rPr>
        <w:t xml:space="preserve">. </w:t>
      </w:r>
      <w:r w:rsidRPr="00657D1E">
        <w:rPr>
          <w:rFonts w:ascii="Theinhardt Light" w:eastAsia="Times New Roman" w:hAnsi="Theinhardt Light"/>
          <w:i/>
          <w:color w:val="000000"/>
          <w:lang w:val="en-GB" w:eastAsia="pl-PL"/>
        </w:rPr>
        <w:t xml:space="preserve">Politics of Scale </w:t>
      </w:r>
      <w:r w:rsidRPr="00657D1E">
        <w:rPr>
          <w:rFonts w:ascii="Theinhardt Light" w:eastAsia="Times New Roman" w:hAnsi="Theinhardt Light"/>
          <w:color w:val="000000"/>
          <w:lang w:val="en-GB" w:eastAsia="pl-PL"/>
        </w:rPr>
        <w:t>focuses on Oskar Hansen’s urban planning projects, displaying their socio-political dimension. </w:t>
      </w:r>
      <w:r w:rsidRPr="00657D1E">
        <w:rPr>
          <w:rFonts w:ascii="Theinhardt Light" w:eastAsia="Times New Roman" w:hAnsi="Theinhardt Light"/>
          <w:i/>
          <w:color w:val="000000"/>
          <w:lang w:val="en-GB" w:eastAsia="pl-PL"/>
        </w:rPr>
        <w:t xml:space="preserve">The Individual in the Collective </w:t>
      </w:r>
      <w:r w:rsidRPr="00657D1E">
        <w:rPr>
          <w:rFonts w:ascii="Theinhardt Light" w:eastAsia="Times New Roman" w:hAnsi="Theinhardt Light"/>
          <w:color w:val="000000"/>
          <w:lang w:val="en-GB" w:eastAsia="pl-PL"/>
        </w:rPr>
        <w:t xml:space="preserve">treats the </w:t>
      </w:r>
      <w:proofErr w:type="spellStart"/>
      <w:r w:rsidRPr="00657D1E">
        <w:rPr>
          <w:rFonts w:ascii="Theinhardt Light" w:eastAsia="Times New Roman" w:hAnsi="Theinhardt Light"/>
          <w:color w:val="000000"/>
          <w:lang w:val="en-GB" w:eastAsia="pl-PL"/>
        </w:rPr>
        <w:t>Hansens</w:t>
      </w:r>
      <w:proofErr w:type="spellEnd"/>
      <w:r w:rsidRPr="00657D1E">
        <w:rPr>
          <w:rFonts w:ascii="Theinhardt Light" w:eastAsia="Times New Roman" w:hAnsi="Theinhardt Light"/>
          <w:color w:val="000000"/>
          <w:lang w:val="en-GB" w:eastAsia="pl-PL"/>
        </w:rPr>
        <w:t>’ realized residential estates in Warsaw and Lublin, presenting their lesser-known, often unpreserved details. </w:t>
      </w:r>
      <w:r w:rsidRPr="00657D1E">
        <w:rPr>
          <w:rFonts w:ascii="Theinhardt Light" w:eastAsia="Times New Roman" w:hAnsi="Theinhardt Light"/>
          <w:i/>
          <w:iCs/>
          <w:color w:val="000000"/>
          <w:lang w:val="en-GB" w:eastAsia="pl-PL"/>
        </w:rPr>
        <w:t xml:space="preserve">Architecture as an </w:t>
      </w:r>
      <w:r w:rsidRPr="00657D1E">
        <w:rPr>
          <w:rFonts w:ascii="Theinhardt Light" w:eastAsia="Times New Roman" w:hAnsi="Theinhardt Light"/>
          <w:i/>
          <w:iCs/>
          <w:color w:val="000000"/>
          <w:lang w:val="en-GB" w:eastAsia="pl-PL"/>
        </w:rPr>
        <w:lastRenderedPageBreak/>
        <w:t xml:space="preserve">Instrument </w:t>
      </w:r>
      <w:r w:rsidRPr="00657D1E">
        <w:rPr>
          <w:rFonts w:ascii="Theinhardt Light" w:eastAsia="Times New Roman" w:hAnsi="Theinhardt Light"/>
          <w:iCs/>
          <w:color w:val="000000"/>
          <w:lang w:val="en-GB" w:eastAsia="pl-PL"/>
        </w:rPr>
        <w:t>focuses on designs for public buildings: museum, gallery, theatre, recording studio—whose shape was to be determined by the users</w:t>
      </w:r>
      <w:r w:rsidRPr="00657D1E">
        <w:rPr>
          <w:rFonts w:ascii="Theinhardt Light" w:eastAsia="Times New Roman" w:hAnsi="Theinhardt Light"/>
          <w:color w:val="000000"/>
          <w:lang w:val="en-GB" w:eastAsia="pl-PL"/>
        </w:rPr>
        <w:t>. </w:t>
      </w:r>
      <w:r w:rsidRPr="00657D1E">
        <w:rPr>
          <w:rFonts w:ascii="Theinhardt Light" w:eastAsia="Times New Roman" w:hAnsi="Theinhardt Light"/>
          <w:i/>
          <w:iCs/>
          <w:color w:val="000000"/>
          <w:lang w:val="en-GB" w:eastAsia="pl-PL"/>
        </w:rPr>
        <w:t xml:space="preserve">Active Negative </w:t>
      </w:r>
      <w:r w:rsidRPr="00657D1E">
        <w:rPr>
          <w:rFonts w:ascii="Theinhardt Light" w:eastAsia="Times New Roman" w:hAnsi="Theinhardt Light"/>
          <w:iCs/>
          <w:color w:val="000000"/>
          <w:lang w:val="en-GB" w:eastAsia="pl-PL"/>
        </w:rPr>
        <w:t xml:space="preserve">shows the private space of the </w:t>
      </w:r>
      <w:proofErr w:type="spellStart"/>
      <w:r w:rsidRPr="00657D1E">
        <w:rPr>
          <w:rFonts w:ascii="Theinhardt Light" w:eastAsia="Times New Roman" w:hAnsi="Theinhardt Light"/>
          <w:iCs/>
          <w:color w:val="000000"/>
          <w:lang w:val="en-GB" w:eastAsia="pl-PL"/>
        </w:rPr>
        <w:t>Hansens</w:t>
      </w:r>
      <w:proofErr w:type="spellEnd"/>
      <w:r w:rsidRPr="00657D1E">
        <w:rPr>
          <w:rFonts w:ascii="Theinhardt Light" w:eastAsia="Times New Roman" w:hAnsi="Theinhardt Light"/>
          <w:iCs/>
          <w:color w:val="000000"/>
          <w:lang w:val="en-GB" w:eastAsia="pl-PL"/>
        </w:rPr>
        <w:t xml:space="preserve"> and the concept associated with them of sculptural presentation of architectural interiors</w:t>
      </w:r>
      <w:r w:rsidRPr="00657D1E">
        <w:rPr>
          <w:rFonts w:ascii="Theinhardt Light" w:eastAsia="Times New Roman" w:hAnsi="Theinhardt Light"/>
          <w:color w:val="000000"/>
          <w:lang w:val="en-GB" w:eastAsia="pl-PL"/>
        </w:rPr>
        <w:t>. </w:t>
      </w:r>
      <w:r w:rsidRPr="00657D1E">
        <w:rPr>
          <w:rFonts w:ascii="Theinhardt Light" w:eastAsia="Times New Roman" w:hAnsi="Theinhardt Light"/>
          <w:i/>
          <w:color w:val="000000"/>
          <w:lang w:val="en-GB" w:eastAsia="pl-PL"/>
        </w:rPr>
        <w:t xml:space="preserve">Anti-monument </w:t>
      </w:r>
      <w:r w:rsidRPr="00657D1E">
        <w:rPr>
          <w:rFonts w:ascii="Theinhardt Light" w:eastAsia="Times New Roman" w:hAnsi="Theinhardt Light"/>
          <w:color w:val="000000"/>
          <w:lang w:val="en-GB" w:eastAsia="pl-PL"/>
        </w:rPr>
        <w:t xml:space="preserve">describes the space-time design for the </w:t>
      </w:r>
      <w:r w:rsidRPr="00657D1E">
        <w:rPr>
          <w:rFonts w:ascii="Theinhardt Light" w:eastAsia="Times New Roman" w:hAnsi="Theinhardt Light"/>
          <w:i/>
          <w:color w:val="000000"/>
          <w:lang w:val="en-GB" w:eastAsia="pl-PL"/>
        </w:rPr>
        <w:t xml:space="preserve">Road </w:t>
      </w:r>
      <w:r w:rsidRPr="00657D1E">
        <w:rPr>
          <w:rFonts w:ascii="Theinhardt Light" w:eastAsia="Times New Roman" w:hAnsi="Theinhardt Light"/>
          <w:color w:val="000000"/>
          <w:lang w:val="en-GB" w:eastAsia="pl-PL"/>
        </w:rPr>
        <w:t>memorial to the victims of Auschwitz-</w:t>
      </w:r>
      <w:proofErr w:type="spellStart"/>
      <w:r w:rsidRPr="00657D1E">
        <w:rPr>
          <w:rFonts w:ascii="Theinhardt Light" w:eastAsia="Times New Roman" w:hAnsi="Theinhardt Light"/>
          <w:color w:val="000000"/>
          <w:lang w:val="en-GB" w:eastAsia="pl-PL"/>
        </w:rPr>
        <w:t>Birkenau</w:t>
      </w:r>
      <w:proofErr w:type="spellEnd"/>
      <w:r w:rsidRPr="00657D1E">
        <w:rPr>
          <w:rFonts w:ascii="Theinhardt Light" w:eastAsia="Times New Roman" w:hAnsi="Theinhardt Light"/>
          <w:color w:val="000000"/>
          <w:lang w:val="en-GB" w:eastAsia="pl-PL"/>
        </w:rPr>
        <w:t>, a group work that became the sculptural reflection of Open Form. Exercises from Hansen’s studio at the Faculty of Sculpture at the Warsaw Fine Arts Academy are mixed into parts of the exhibition. Hansen taught at the academy for 30 years, promoting the tenets of Open Form among his students.</w:t>
      </w:r>
    </w:p>
    <w:p w:rsidR="00940A88" w:rsidRPr="00657D1E" w:rsidRDefault="00940A88" w:rsidP="00657D1E">
      <w:pPr>
        <w:spacing w:line="276" w:lineRule="auto"/>
        <w:jc w:val="both"/>
        <w:rPr>
          <w:rFonts w:ascii="Theinhardt Light" w:eastAsia="Arial" w:hAnsi="Theinhardt Light" w:cs="Arial"/>
        </w:rPr>
      </w:pPr>
      <w:r w:rsidRPr="00657D1E">
        <w:rPr>
          <w:rFonts w:ascii="Theinhardt Light" w:eastAsia="Arial" w:hAnsi="Theinhardt Light" w:cs="Arial"/>
          <w:color w:val="000000"/>
          <w:highlight w:val="white"/>
        </w:rPr>
        <w:t xml:space="preserve">The event held by the Museum of Modern Art in Warsaw is the fourth edition of the exhibition prepared by Soledad Gutiérrez, Aleksandra </w:t>
      </w:r>
      <w:proofErr w:type="spellStart"/>
      <w:r w:rsidRPr="00657D1E">
        <w:rPr>
          <w:rFonts w:ascii="Theinhardt Light" w:eastAsia="Arial" w:hAnsi="Theinhardt Light" w:cs="Arial"/>
          <w:color w:val="000000"/>
          <w:highlight w:val="white"/>
        </w:rPr>
        <w:t>Kędziorek</w:t>
      </w:r>
      <w:proofErr w:type="spellEnd"/>
      <w:r w:rsidRPr="00657D1E">
        <w:rPr>
          <w:rFonts w:ascii="Theinhardt Light" w:eastAsia="Arial" w:hAnsi="Theinhardt Light" w:cs="Arial"/>
          <w:color w:val="000000"/>
          <w:highlight w:val="white"/>
        </w:rPr>
        <w:t xml:space="preserve"> and </w:t>
      </w:r>
      <w:proofErr w:type="spellStart"/>
      <w:r w:rsidRPr="00657D1E">
        <w:rPr>
          <w:rFonts w:ascii="Theinhardt Light" w:eastAsia="Arial" w:hAnsi="Theinhardt Light" w:cs="Arial"/>
          <w:color w:val="000000"/>
          <w:highlight w:val="white"/>
        </w:rPr>
        <w:t>Łukasz</w:t>
      </w:r>
      <w:proofErr w:type="spellEnd"/>
      <w:r w:rsidRPr="00657D1E">
        <w:rPr>
          <w:rFonts w:ascii="Theinhardt Light" w:eastAsia="Arial" w:hAnsi="Theinhardt Light" w:cs="Arial"/>
          <w:color w:val="000000"/>
          <w:highlight w:val="white"/>
        </w:rPr>
        <w:t xml:space="preserve"> </w:t>
      </w:r>
      <w:proofErr w:type="spellStart"/>
      <w:r w:rsidRPr="00657D1E">
        <w:rPr>
          <w:rFonts w:ascii="Theinhardt Light" w:eastAsia="Arial" w:hAnsi="Theinhardt Light" w:cs="Arial"/>
          <w:color w:val="000000"/>
          <w:highlight w:val="white"/>
        </w:rPr>
        <w:t>Ronduda</w:t>
      </w:r>
      <w:proofErr w:type="spellEnd"/>
      <w:r w:rsidRPr="00657D1E">
        <w:rPr>
          <w:rFonts w:ascii="Theinhardt Light" w:eastAsia="Arial" w:hAnsi="Theinhardt Light" w:cs="Arial"/>
          <w:color w:val="000000"/>
          <w:highlight w:val="white"/>
        </w:rPr>
        <w:t xml:space="preserve">. It has already been presented in MACBA, Barcelona (2014), </w:t>
      </w:r>
      <w:proofErr w:type="spellStart"/>
      <w:r w:rsidRPr="00657D1E">
        <w:rPr>
          <w:rFonts w:ascii="Theinhardt Light" w:eastAsia="Arial" w:hAnsi="Theinhardt Light" w:cs="Arial"/>
          <w:color w:val="000000"/>
          <w:highlight w:val="white"/>
        </w:rPr>
        <w:t>Serralves</w:t>
      </w:r>
      <w:proofErr w:type="spellEnd"/>
      <w:r w:rsidRPr="00657D1E">
        <w:rPr>
          <w:rFonts w:ascii="Theinhardt Light" w:eastAsia="Arial" w:hAnsi="Theinhardt Light" w:cs="Arial"/>
          <w:color w:val="000000"/>
          <w:highlight w:val="white"/>
        </w:rPr>
        <w:t xml:space="preserve"> Museum, Porto (2015), and Yale School of Architecture, New Haven, US (2016). The Warsaw edition constitutes the culmination of the exhibition’s international tour.</w:t>
      </w:r>
    </w:p>
    <w:p w:rsidR="00C95D89" w:rsidRPr="00657D1E" w:rsidRDefault="00C95D89" w:rsidP="00657D1E">
      <w:pPr>
        <w:pStyle w:val="LO-normal"/>
        <w:spacing w:line="276" w:lineRule="auto"/>
        <w:rPr>
          <w:rFonts w:ascii="Theinhardt Light" w:hAnsi="Theinhardt Light"/>
          <w:sz w:val="24"/>
          <w:szCs w:val="24"/>
        </w:rPr>
      </w:pPr>
    </w:p>
    <w:p w:rsidR="004E5AD1" w:rsidRPr="00657D1E" w:rsidRDefault="004E5AD1" w:rsidP="00657D1E">
      <w:pPr>
        <w:pStyle w:val="LO-normal"/>
        <w:spacing w:line="276" w:lineRule="auto"/>
        <w:rPr>
          <w:rFonts w:ascii="Theinhardt Light" w:hAnsi="Theinhardt Light"/>
          <w:b/>
          <w:sz w:val="24"/>
          <w:szCs w:val="24"/>
        </w:rPr>
      </w:pPr>
    </w:p>
    <w:p w:rsidR="004E5AD1" w:rsidRPr="00657D1E" w:rsidRDefault="00C67E68" w:rsidP="00657D1E">
      <w:pPr>
        <w:pStyle w:val="LO-normal"/>
        <w:spacing w:line="276" w:lineRule="auto"/>
        <w:rPr>
          <w:rFonts w:ascii="Theinhardt Light" w:hAnsi="Theinhardt Light"/>
          <w:b/>
          <w:sz w:val="24"/>
          <w:szCs w:val="24"/>
        </w:rPr>
      </w:pPr>
      <w:proofErr w:type="spellStart"/>
      <w:r w:rsidRPr="00657D1E">
        <w:rPr>
          <w:rFonts w:ascii="Theinhardt Light" w:hAnsi="Theinhardt Light"/>
          <w:b/>
          <w:sz w:val="24"/>
          <w:szCs w:val="24"/>
        </w:rPr>
        <w:t>Colophon</w:t>
      </w:r>
      <w:proofErr w:type="spellEnd"/>
      <w:r w:rsidR="004E5AD1" w:rsidRPr="00657D1E">
        <w:rPr>
          <w:rFonts w:ascii="Theinhardt Light" w:hAnsi="Theinhardt Light"/>
          <w:b/>
          <w:sz w:val="24"/>
          <w:szCs w:val="24"/>
        </w:rPr>
        <w:t>:</w:t>
      </w:r>
    </w:p>
    <w:p w:rsidR="004E5AD1" w:rsidRPr="00657D1E" w:rsidRDefault="00C67E68" w:rsidP="00657D1E">
      <w:pPr>
        <w:pStyle w:val="LO-normal"/>
        <w:spacing w:line="276" w:lineRule="auto"/>
        <w:rPr>
          <w:rFonts w:ascii="Theinhardt Light" w:hAnsi="Theinhardt Light"/>
          <w:sz w:val="24"/>
          <w:szCs w:val="24"/>
        </w:rPr>
      </w:pPr>
      <w:proofErr w:type="spellStart"/>
      <w:r w:rsidRPr="00657D1E">
        <w:rPr>
          <w:rFonts w:ascii="Theinhardt Light" w:hAnsi="Theinhardt Light"/>
          <w:sz w:val="24"/>
          <w:szCs w:val="24"/>
        </w:rPr>
        <w:t>Curator</w:t>
      </w:r>
      <w:proofErr w:type="spellEnd"/>
      <w:r w:rsidR="004E5AD1" w:rsidRPr="00657D1E">
        <w:rPr>
          <w:rFonts w:ascii="Theinhardt Light" w:hAnsi="Theinhardt Light"/>
          <w:sz w:val="24"/>
          <w:szCs w:val="24"/>
        </w:rPr>
        <w:t>: Aleksandra Kędziorek</w:t>
      </w:r>
    </w:p>
    <w:p w:rsidR="004E5AD1" w:rsidRPr="00657D1E" w:rsidRDefault="00C67E68" w:rsidP="00657D1E">
      <w:pPr>
        <w:pStyle w:val="LO-normal"/>
        <w:spacing w:line="276" w:lineRule="auto"/>
        <w:rPr>
          <w:rFonts w:ascii="Theinhardt Light" w:hAnsi="Theinhardt Light"/>
          <w:sz w:val="24"/>
          <w:szCs w:val="24"/>
        </w:rPr>
      </w:pPr>
      <w:proofErr w:type="spellStart"/>
      <w:r w:rsidRPr="00657D1E">
        <w:rPr>
          <w:rFonts w:ascii="Theinhardt Light" w:hAnsi="Theinhardt Light"/>
          <w:sz w:val="24"/>
          <w:szCs w:val="24"/>
        </w:rPr>
        <w:t>Exhibition</w:t>
      </w:r>
      <w:proofErr w:type="spellEnd"/>
      <w:r w:rsidRPr="00657D1E">
        <w:rPr>
          <w:rFonts w:ascii="Theinhardt Light" w:hAnsi="Theinhardt Light"/>
          <w:sz w:val="24"/>
          <w:szCs w:val="24"/>
        </w:rPr>
        <w:t xml:space="preserve"> design</w:t>
      </w:r>
      <w:r w:rsidR="004E5AD1" w:rsidRPr="00657D1E">
        <w:rPr>
          <w:rFonts w:ascii="Theinhardt Light" w:hAnsi="Theinhardt Light"/>
          <w:sz w:val="24"/>
          <w:szCs w:val="24"/>
        </w:rPr>
        <w:t xml:space="preserve">: Centrala (Małgorzata </w:t>
      </w:r>
      <w:proofErr w:type="spellStart"/>
      <w:r w:rsidR="004E5AD1" w:rsidRPr="00657D1E">
        <w:rPr>
          <w:rFonts w:ascii="Theinhardt Light" w:hAnsi="Theinhardt Light"/>
          <w:sz w:val="24"/>
          <w:szCs w:val="24"/>
        </w:rPr>
        <w:t>Kuciewicz</w:t>
      </w:r>
      <w:proofErr w:type="spellEnd"/>
      <w:r w:rsidR="004E5AD1" w:rsidRPr="00657D1E">
        <w:rPr>
          <w:rFonts w:ascii="Theinhardt Light" w:hAnsi="Theinhardt Light"/>
          <w:sz w:val="24"/>
          <w:szCs w:val="24"/>
        </w:rPr>
        <w:t xml:space="preserve">, Simone De </w:t>
      </w:r>
      <w:proofErr w:type="spellStart"/>
      <w:r w:rsidR="004E5AD1" w:rsidRPr="00657D1E">
        <w:rPr>
          <w:rFonts w:ascii="Theinhardt Light" w:hAnsi="Theinhardt Light"/>
          <w:sz w:val="24"/>
          <w:szCs w:val="24"/>
        </w:rPr>
        <w:t>Iacobis</w:t>
      </w:r>
      <w:proofErr w:type="spellEnd"/>
      <w:r w:rsidR="004E5AD1" w:rsidRPr="00657D1E">
        <w:rPr>
          <w:rFonts w:ascii="Theinhardt Light" w:hAnsi="Theinhardt Light"/>
          <w:sz w:val="24"/>
          <w:szCs w:val="24"/>
        </w:rPr>
        <w:t>)</w:t>
      </w:r>
    </w:p>
    <w:p w:rsidR="004E5AD1" w:rsidRPr="00657D1E" w:rsidRDefault="00C67E68" w:rsidP="00657D1E">
      <w:pPr>
        <w:pStyle w:val="LO-normal"/>
        <w:spacing w:line="276" w:lineRule="auto"/>
        <w:rPr>
          <w:rFonts w:ascii="Theinhardt Light" w:hAnsi="Theinhardt Light"/>
          <w:sz w:val="24"/>
          <w:szCs w:val="24"/>
        </w:rPr>
      </w:pPr>
      <w:proofErr w:type="spellStart"/>
      <w:r w:rsidRPr="00657D1E">
        <w:rPr>
          <w:rFonts w:ascii="Theinhardt Light" w:hAnsi="Theinhardt Light"/>
          <w:sz w:val="24"/>
          <w:szCs w:val="24"/>
        </w:rPr>
        <w:t>Graphic</w:t>
      </w:r>
      <w:proofErr w:type="spellEnd"/>
      <w:r w:rsidRPr="00657D1E">
        <w:rPr>
          <w:rFonts w:ascii="Theinhardt Light" w:hAnsi="Theinhardt Light"/>
          <w:sz w:val="24"/>
          <w:szCs w:val="24"/>
        </w:rPr>
        <w:t xml:space="preserve"> design</w:t>
      </w:r>
      <w:r w:rsidR="004E5AD1" w:rsidRPr="00657D1E">
        <w:rPr>
          <w:rFonts w:ascii="Theinhardt Light" w:hAnsi="Theinhardt Light"/>
          <w:sz w:val="24"/>
          <w:szCs w:val="24"/>
        </w:rPr>
        <w:t xml:space="preserve">: Piotr </w:t>
      </w:r>
      <w:proofErr w:type="spellStart"/>
      <w:r w:rsidR="004E5AD1" w:rsidRPr="00657D1E">
        <w:rPr>
          <w:rFonts w:ascii="Theinhardt Light" w:hAnsi="Theinhardt Light"/>
          <w:sz w:val="24"/>
          <w:szCs w:val="24"/>
        </w:rPr>
        <w:t>Chuchla</w:t>
      </w:r>
      <w:proofErr w:type="spellEnd"/>
    </w:p>
    <w:p w:rsidR="00C67E68" w:rsidRPr="00657D1E" w:rsidRDefault="00C67E68" w:rsidP="00657D1E">
      <w:pPr>
        <w:pStyle w:val="LO-normal"/>
        <w:spacing w:line="276" w:lineRule="auto"/>
        <w:rPr>
          <w:rFonts w:ascii="Theinhardt Light" w:hAnsi="Theinhardt Light"/>
          <w:sz w:val="24"/>
          <w:szCs w:val="24"/>
        </w:rPr>
      </w:pPr>
      <w:proofErr w:type="spellStart"/>
      <w:r w:rsidRPr="00657D1E">
        <w:rPr>
          <w:rFonts w:ascii="Theinhardt Light" w:hAnsi="Theinhardt Light"/>
          <w:sz w:val="24"/>
          <w:szCs w:val="24"/>
        </w:rPr>
        <w:t>Production</w:t>
      </w:r>
      <w:proofErr w:type="spellEnd"/>
      <w:r w:rsidRPr="00657D1E">
        <w:rPr>
          <w:rFonts w:ascii="Theinhardt Light" w:hAnsi="Theinhardt Light"/>
          <w:sz w:val="24"/>
          <w:szCs w:val="24"/>
        </w:rPr>
        <w:t xml:space="preserve">: Joanna Turek in </w:t>
      </w:r>
      <w:proofErr w:type="spellStart"/>
      <w:r w:rsidRPr="00657D1E">
        <w:rPr>
          <w:rFonts w:ascii="Theinhardt Light" w:hAnsi="Theinhardt Light"/>
          <w:sz w:val="24"/>
          <w:szCs w:val="24"/>
        </w:rPr>
        <w:t>collaboration</w:t>
      </w:r>
      <w:proofErr w:type="spellEnd"/>
      <w:r w:rsidRPr="00657D1E">
        <w:rPr>
          <w:rFonts w:ascii="Theinhardt Light" w:hAnsi="Theinhardt Light"/>
          <w:sz w:val="24"/>
          <w:szCs w:val="24"/>
        </w:rPr>
        <w:t xml:space="preserve"> with</w:t>
      </w:r>
      <w:r w:rsidR="004E5AD1" w:rsidRPr="00657D1E">
        <w:rPr>
          <w:rFonts w:ascii="Theinhardt Light" w:hAnsi="Theinhardt Light"/>
          <w:sz w:val="24"/>
          <w:szCs w:val="24"/>
        </w:rPr>
        <w:t xml:space="preserve"> Sylwia Borowska</w:t>
      </w:r>
    </w:p>
    <w:p w:rsidR="004E5AD1" w:rsidRPr="00657D1E" w:rsidRDefault="00C67E68" w:rsidP="00657D1E">
      <w:pPr>
        <w:pStyle w:val="LO-normal"/>
        <w:spacing w:line="276" w:lineRule="auto"/>
        <w:rPr>
          <w:rFonts w:ascii="Theinhardt Light" w:hAnsi="Theinhardt Light"/>
          <w:sz w:val="24"/>
          <w:szCs w:val="24"/>
        </w:rPr>
      </w:pPr>
      <w:proofErr w:type="spellStart"/>
      <w:r w:rsidRPr="00657D1E">
        <w:rPr>
          <w:rFonts w:ascii="Theinhardt Light" w:hAnsi="Theinhardt Light"/>
          <w:sz w:val="24"/>
          <w:szCs w:val="24"/>
        </w:rPr>
        <w:t>Educational</w:t>
      </w:r>
      <w:proofErr w:type="spellEnd"/>
      <w:r w:rsidRPr="00657D1E">
        <w:rPr>
          <w:rFonts w:ascii="Theinhardt Light" w:hAnsi="Theinhardt Light"/>
          <w:sz w:val="24"/>
          <w:szCs w:val="24"/>
        </w:rPr>
        <w:t xml:space="preserve"> </w:t>
      </w:r>
      <w:proofErr w:type="spellStart"/>
      <w:r w:rsidRPr="00657D1E">
        <w:rPr>
          <w:rFonts w:ascii="Theinhardt Light" w:hAnsi="Theinhardt Light"/>
          <w:sz w:val="24"/>
          <w:szCs w:val="24"/>
        </w:rPr>
        <w:t>programme</w:t>
      </w:r>
      <w:proofErr w:type="spellEnd"/>
      <w:r w:rsidR="004E5AD1" w:rsidRPr="00657D1E">
        <w:rPr>
          <w:rFonts w:ascii="Theinhardt Light" w:hAnsi="Theinhardt Light"/>
          <w:sz w:val="24"/>
          <w:szCs w:val="24"/>
        </w:rPr>
        <w:t>: Katarzyna Witt</w:t>
      </w:r>
    </w:p>
    <w:p w:rsidR="004E5AD1" w:rsidRPr="00657D1E" w:rsidRDefault="00C67E68" w:rsidP="00657D1E">
      <w:pPr>
        <w:pStyle w:val="LO-normal"/>
        <w:spacing w:line="276" w:lineRule="auto"/>
        <w:rPr>
          <w:rFonts w:ascii="Theinhardt Light" w:hAnsi="Theinhardt Light"/>
          <w:sz w:val="24"/>
          <w:szCs w:val="24"/>
          <w:highlight w:val="yellow"/>
        </w:rPr>
      </w:pPr>
      <w:proofErr w:type="spellStart"/>
      <w:r w:rsidRPr="00657D1E">
        <w:rPr>
          <w:rFonts w:ascii="Theinhardt Light" w:hAnsi="Theinhardt Light"/>
          <w:sz w:val="24"/>
          <w:szCs w:val="24"/>
        </w:rPr>
        <w:t>Publication</w:t>
      </w:r>
      <w:proofErr w:type="spellEnd"/>
      <w:r w:rsidR="004E5AD1" w:rsidRPr="00657D1E">
        <w:rPr>
          <w:rFonts w:ascii="Theinhardt Light" w:hAnsi="Theinhardt Light"/>
          <w:sz w:val="24"/>
          <w:szCs w:val="24"/>
        </w:rPr>
        <w:t xml:space="preserve">: </w:t>
      </w:r>
      <w:proofErr w:type="spellStart"/>
      <w:r w:rsidR="004E5AD1" w:rsidRPr="00657D1E">
        <w:rPr>
          <w:rFonts w:ascii="Theinhardt Light" w:hAnsi="Theinhardt Light"/>
          <w:sz w:val="24"/>
          <w:szCs w:val="24"/>
        </w:rPr>
        <w:t>Kacha</w:t>
      </w:r>
      <w:proofErr w:type="spellEnd"/>
      <w:r w:rsidR="004E5AD1" w:rsidRPr="00657D1E">
        <w:rPr>
          <w:rFonts w:ascii="Theinhardt Light" w:hAnsi="Theinhardt Light"/>
          <w:sz w:val="24"/>
          <w:szCs w:val="24"/>
        </w:rPr>
        <w:t xml:space="preserve"> Szaniawska</w:t>
      </w:r>
    </w:p>
    <w:p w:rsidR="004E5AD1" w:rsidRPr="00657D1E" w:rsidRDefault="004E5AD1" w:rsidP="00657D1E">
      <w:pPr>
        <w:pStyle w:val="LO-normal"/>
        <w:spacing w:line="276" w:lineRule="auto"/>
        <w:rPr>
          <w:rFonts w:ascii="Theinhardt Light" w:hAnsi="Theinhardt Light"/>
          <w:sz w:val="24"/>
          <w:szCs w:val="24"/>
        </w:rPr>
      </w:pPr>
    </w:p>
    <w:p w:rsidR="004E5AD1" w:rsidRPr="00657D1E" w:rsidRDefault="00C67E68" w:rsidP="00657D1E">
      <w:pPr>
        <w:pStyle w:val="LO-normal"/>
        <w:spacing w:line="276" w:lineRule="auto"/>
        <w:rPr>
          <w:rFonts w:ascii="Theinhardt Light" w:hAnsi="Theinhardt Light"/>
          <w:sz w:val="24"/>
          <w:szCs w:val="24"/>
        </w:rPr>
      </w:pPr>
      <w:proofErr w:type="spellStart"/>
      <w:r w:rsidRPr="00657D1E">
        <w:rPr>
          <w:rFonts w:ascii="Theinhardt Light" w:hAnsi="Theinhardt Light"/>
          <w:b/>
          <w:sz w:val="24"/>
          <w:szCs w:val="24"/>
        </w:rPr>
        <w:t>Website</w:t>
      </w:r>
      <w:proofErr w:type="spellEnd"/>
      <w:r w:rsidR="004E5AD1" w:rsidRPr="00657D1E">
        <w:rPr>
          <w:rFonts w:ascii="Theinhardt Light" w:hAnsi="Theinhardt Light"/>
          <w:b/>
          <w:sz w:val="24"/>
          <w:szCs w:val="24"/>
        </w:rPr>
        <w:t xml:space="preserve">: </w:t>
      </w:r>
      <w:r w:rsidR="004E5AD1" w:rsidRPr="00657D1E">
        <w:rPr>
          <w:rFonts w:ascii="Theinhardt Light" w:hAnsi="Theinhardt Light"/>
          <w:sz w:val="24"/>
          <w:szCs w:val="24"/>
        </w:rPr>
        <w:t>hansen.artmuseum.pl</w:t>
      </w:r>
    </w:p>
    <w:p w:rsidR="004E5AD1" w:rsidRPr="00657D1E" w:rsidRDefault="004E5AD1" w:rsidP="00657D1E">
      <w:pPr>
        <w:pStyle w:val="LO-normal"/>
        <w:spacing w:line="276" w:lineRule="auto"/>
        <w:rPr>
          <w:rFonts w:ascii="Theinhardt Light" w:hAnsi="Theinhardt Light"/>
          <w:sz w:val="24"/>
          <w:szCs w:val="24"/>
        </w:rPr>
      </w:pPr>
    </w:p>
    <w:p w:rsidR="00C67E68" w:rsidRPr="00657D1E" w:rsidRDefault="00C67E68" w:rsidP="00657D1E">
      <w:pPr>
        <w:pStyle w:val="LO-normal"/>
        <w:spacing w:line="276" w:lineRule="auto"/>
        <w:jc w:val="both"/>
        <w:rPr>
          <w:rFonts w:ascii="Theinhardt Light" w:hAnsi="Theinhardt Light"/>
          <w:sz w:val="24"/>
          <w:szCs w:val="24"/>
        </w:rPr>
      </w:pPr>
      <w:proofErr w:type="spellStart"/>
      <w:r w:rsidRPr="00657D1E">
        <w:rPr>
          <w:rFonts w:ascii="Theinhardt Light" w:hAnsi="Theinhardt Light"/>
          <w:b/>
          <w:sz w:val="24"/>
          <w:szCs w:val="24"/>
        </w:rPr>
        <w:t>Opening</w:t>
      </w:r>
      <w:proofErr w:type="spellEnd"/>
      <w:r w:rsidRPr="00657D1E">
        <w:rPr>
          <w:rFonts w:ascii="Theinhardt Light" w:hAnsi="Theinhardt Light"/>
          <w:b/>
          <w:sz w:val="24"/>
          <w:szCs w:val="24"/>
        </w:rPr>
        <w:t xml:space="preserve"> </w:t>
      </w:r>
      <w:proofErr w:type="spellStart"/>
      <w:r w:rsidRPr="00657D1E">
        <w:rPr>
          <w:rFonts w:ascii="Theinhardt Light" w:hAnsi="Theinhardt Light"/>
          <w:b/>
          <w:sz w:val="24"/>
          <w:szCs w:val="24"/>
        </w:rPr>
        <w:t>hours</w:t>
      </w:r>
      <w:proofErr w:type="spellEnd"/>
      <w:r w:rsidRPr="00657D1E">
        <w:rPr>
          <w:rFonts w:ascii="Theinhardt Light" w:hAnsi="Theinhardt Light"/>
          <w:b/>
          <w:sz w:val="24"/>
          <w:szCs w:val="24"/>
        </w:rPr>
        <w:t xml:space="preserve">: </w:t>
      </w:r>
      <w:proofErr w:type="spellStart"/>
      <w:r w:rsidRPr="00657D1E">
        <w:rPr>
          <w:rFonts w:ascii="Theinhardt Light" w:hAnsi="Theinhardt Light"/>
          <w:sz w:val="24"/>
          <w:szCs w:val="24"/>
        </w:rPr>
        <w:t>Tuesday-Thursday</w:t>
      </w:r>
      <w:proofErr w:type="spellEnd"/>
      <w:r w:rsidRPr="00657D1E">
        <w:rPr>
          <w:rFonts w:ascii="Theinhardt Light" w:hAnsi="Theinhardt Light"/>
          <w:sz w:val="24"/>
          <w:szCs w:val="24"/>
        </w:rPr>
        <w:t xml:space="preserve"> 12.00-20.00, </w:t>
      </w:r>
      <w:proofErr w:type="spellStart"/>
      <w:r w:rsidRPr="00657D1E">
        <w:rPr>
          <w:rFonts w:ascii="Theinhardt Light" w:hAnsi="Theinhardt Light"/>
          <w:sz w:val="24"/>
          <w:szCs w:val="24"/>
        </w:rPr>
        <w:t>Friday</w:t>
      </w:r>
      <w:proofErr w:type="spellEnd"/>
      <w:r w:rsidRPr="00657D1E">
        <w:rPr>
          <w:rFonts w:ascii="Theinhardt Light" w:hAnsi="Theinhardt Light"/>
          <w:sz w:val="24"/>
          <w:szCs w:val="24"/>
        </w:rPr>
        <w:t xml:space="preserve"> 12.00-22.00, </w:t>
      </w:r>
      <w:proofErr w:type="spellStart"/>
      <w:r w:rsidRPr="00657D1E">
        <w:rPr>
          <w:rFonts w:ascii="Theinhardt Light" w:hAnsi="Theinhardt Light"/>
          <w:sz w:val="24"/>
          <w:szCs w:val="24"/>
        </w:rPr>
        <w:t>Saturday</w:t>
      </w:r>
      <w:proofErr w:type="spellEnd"/>
      <w:r w:rsidRPr="00657D1E">
        <w:rPr>
          <w:rFonts w:ascii="Theinhardt Light" w:hAnsi="Theinhardt Light"/>
          <w:sz w:val="24"/>
          <w:szCs w:val="24"/>
        </w:rPr>
        <w:t xml:space="preserve"> 11.00-20.00, </w:t>
      </w:r>
      <w:proofErr w:type="spellStart"/>
      <w:r w:rsidRPr="00657D1E">
        <w:rPr>
          <w:rFonts w:ascii="Theinhardt Light" w:hAnsi="Theinhardt Light"/>
          <w:sz w:val="24"/>
          <w:szCs w:val="24"/>
        </w:rPr>
        <w:t>Sunday</w:t>
      </w:r>
      <w:proofErr w:type="spellEnd"/>
      <w:r w:rsidRPr="00657D1E">
        <w:rPr>
          <w:rFonts w:ascii="Theinhardt Light" w:hAnsi="Theinhardt Light"/>
          <w:sz w:val="24"/>
          <w:szCs w:val="24"/>
        </w:rPr>
        <w:t xml:space="preserve"> 11.00-18.00, </w:t>
      </w:r>
      <w:proofErr w:type="spellStart"/>
      <w:r w:rsidRPr="00657D1E">
        <w:rPr>
          <w:rFonts w:ascii="Theinhardt Light" w:hAnsi="Theinhardt Light"/>
          <w:sz w:val="24"/>
          <w:szCs w:val="24"/>
        </w:rPr>
        <w:t>Monday</w:t>
      </w:r>
      <w:proofErr w:type="spellEnd"/>
      <w:r w:rsidRPr="00657D1E">
        <w:rPr>
          <w:rFonts w:ascii="Theinhardt Light" w:hAnsi="Theinhardt Light"/>
          <w:sz w:val="24"/>
          <w:szCs w:val="24"/>
        </w:rPr>
        <w:t xml:space="preserve"> – </w:t>
      </w:r>
      <w:proofErr w:type="spellStart"/>
      <w:r w:rsidRPr="00657D1E">
        <w:rPr>
          <w:rFonts w:ascii="Theinhardt Light" w:hAnsi="Theinhardt Light"/>
          <w:sz w:val="24"/>
          <w:szCs w:val="24"/>
        </w:rPr>
        <w:t>closed</w:t>
      </w:r>
      <w:proofErr w:type="spellEnd"/>
      <w:r w:rsidRPr="00657D1E">
        <w:rPr>
          <w:rFonts w:ascii="Theinhardt Light" w:hAnsi="Theinhardt Light"/>
          <w:sz w:val="24"/>
          <w:szCs w:val="24"/>
        </w:rPr>
        <w:t>.</w:t>
      </w:r>
    </w:p>
    <w:p w:rsidR="00AF6446" w:rsidRPr="00657D1E" w:rsidRDefault="00AF6446" w:rsidP="00657D1E">
      <w:pPr>
        <w:pStyle w:val="LO-normal"/>
        <w:spacing w:line="276" w:lineRule="auto"/>
        <w:rPr>
          <w:rFonts w:ascii="Theinhardt Light" w:hAnsi="Theinhardt Light"/>
          <w:sz w:val="24"/>
          <w:szCs w:val="24"/>
        </w:rPr>
      </w:pPr>
    </w:p>
    <w:p w:rsidR="00D61E64" w:rsidRPr="00657D1E" w:rsidRDefault="00C67E68" w:rsidP="00657D1E">
      <w:pPr>
        <w:pStyle w:val="Domylne"/>
        <w:spacing w:line="276" w:lineRule="auto"/>
        <w:jc w:val="both"/>
        <w:rPr>
          <w:rFonts w:ascii="Theinhardt Light" w:hAnsi="Theinhardt Light"/>
          <w:b/>
          <w:sz w:val="24"/>
          <w:szCs w:val="24"/>
        </w:rPr>
      </w:pPr>
      <w:proofErr w:type="spellStart"/>
      <w:r w:rsidRPr="00657D1E">
        <w:rPr>
          <w:rFonts w:ascii="Theinhardt Light" w:hAnsi="Theinhardt Light"/>
          <w:b/>
          <w:sz w:val="24"/>
          <w:szCs w:val="24"/>
        </w:rPr>
        <w:t>Contact</w:t>
      </w:r>
      <w:proofErr w:type="spellEnd"/>
      <w:r w:rsidRPr="00657D1E">
        <w:rPr>
          <w:rFonts w:ascii="Theinhardt Light" w:hAnsi="Theinhardt Light"/>
          <w:b/>
          <w:sz w:val="24"/>
          <w:szCs w:val="24"/>
        </w:rPr>
        <w:t xml:space="preserve"> for </w:t>
      </w:r>
      <w:proofErr w:type="spellStart"/>
      <w:r w:rsidRPr="00657D1E">
        <w:rPr>
          <w:rFonts w:ascii="Theinhardt Light" w:hAnsi="Theinhardt Light"/>
          <w:b/>
          <w:sz w:val="24"/>
          <w:szCs w:val="24"/>
        </w:rPr>
        <w:t>press</w:t>
      </w:r>
      <w:proofErr w:type="spellEnd"/>
      <w:r w:rsidR="00FA0C4B" w:rsidRPr="00657D1E">
        <w:rPr>
          <w:rFonts w:ascii="Theinhardt Light" w:hAnsi="Theinhardt Light"/>
          <w:b/>
          <w:sz w:val="24"/>
          <w:szCs w:val="24"/>
        </w:rPr>
        <w:t>:</w:t>
      </w:r>
    </w:p>
    <w:p w:rsidR="00D61E64" w:rsidRPr="00657D1E" w:rsidRDefault="00FA0C4B" w:rsidP="00657D1E">
      <w:pPr>
        <w:pStyle w:val="Domylne"/>
        <w:spacing w:line="276" w:lineRule="auto"/>
        <w:jc w:val="both"/>
        <w:rPr>
          <w:rFonts w:ascii="Theinhardt Light" w:hAnsi="Theinhardt Light"/>
          <w:sz w:val="24"/>
          <w:szCs w:val="24"/>
        </w:rPr>
      </w:pPr>
      <w:r w:rsidRPr="00657D1E">
        <w:rPr>
          <w:rFonts w:ascii="Theinhardt Light" w:hAnsi="Theinhardt Light"/>
          <w:sz w:val="24"/>
          <w:szCs w:val="24"/>
        </w:rPr>
        <w:t xml:space="preserve">Iga Winczakiewicz </w:t>
      </w:r>
      <w:hyperlink r:id="rId8" w:history="1">
        <w:r w:rsidR="00D61E64" w:rsidRPr="00657D1E">
          <w:rPr>
            <w:rStyle w:val="Hipercze"/>
            <w:rFonts w:ascii="Theinhardt Light" w:hAnsi="Theinhardt Light"/>
            <w:sz w:val="24"/>
            <w:szCs w:val="24"/>
          </w:rPr>
          <w:t>iga.winczakiewicz@artmuseum.pl</w:t>
        </w:r>
      </w:hyperlink>
      <w:r w:rsidR="00D61E64" w:rsidRPr="00657D1E">
        <w:rPr>
          <w:rFonts w:ascii="Theinhardt Light" w:hAnsi="Theinhardt Light"/>
          <w:sz w:val="24"/>
          <w:szCs w:val="24"/>
        </w:rPr>
        <w:t xml:space="preserve"> / </w:t>
      </w:r>
      <w:hyperlink r:id="rId9" w:history="1">
        <w:r w:rsidR="00D61E64" w:rsidRPr="00657D1E">
          <w:rPr>
            <w:rStyle w:val="Hipercze"/>
            <w:rFonts w:ascii="Theinhardt Light" w:hAnsi="Theinhardt Light"/>
            <w:sz w:val="24"/>
            <w:szCs w:val="24"/>
          </w:rPr>
          <w:t>prasa@artmuseum.pl</w:t>
        </w:r>
      </w:hyperlink>
      <w:r w:rsidR="00D61E64" w:rsidRPr="00657D1E">
        <w:rPr>
          <w:rFonts w:ascii="Theinhardt Light" w:hAnsi="Theinhardt Light"/>
          <w:sz w:val="24"/>
          <w:szCs w:val="24"/>
        </w:rPr>
        <w:t xml:space="preserve"> </w:t>
      </w:r>
    </w:p>
    <w:p w:rsidR="00D61E64" w:rsidRPr="00657D1E" w:rsidRDefault="00D61E64" w:rsidP="00657D1E">
      <w:pPr>
        <w:pStyle w:val="Domylne"/>
        <w:spacing w:line="276" w:lineRule="auto"/>
        <w:jc w:val="both"/>
        <w:rPr>
          <w:rFonts w:ascii="Theinhardt Light" w:hAnsi="Theinhardt Light"/>
          <w:sz w:val="24"/>
          <w:szCs w:val="24"/>
        </w:rPr>
      </w:pPr>
      <w:r w:rsidRPr="00657D1E">
        <w:rPr>
          <w:rFonts w:ascii="Theinhardt Light" w:hAnsi="Theinhardt Light"/>
          <w:sz w:val="24"/>
          <w:szCs w:val="24"/>
        </w:rPr>
        <w:t xml:space="preserve">tel. 22 596 40 23 </w:t>
      </w:r>
    </w:p>
    <w:p w:rsidR="00D61E64" w:rsidRPr="00657D1E" w:rsidRDefault="00C67E68" w:rsidP="00657D1E">
      <w:pPr>
        <w:pStyle w:val="Domylne"/>
        <w:spacing w:line="276" w:lineRule="auto"/>
        <w:jc w:val="both"/>
        <w:rPr>
          <w:rFonts w:ascii="Theinhardt Light" w:hAnsi="Theinhardt Light"/>
          <w:sz w:val="24"/>
          <w:szCs w:val="24"/>
        </w:rPr>
      </w:pPr>
      <w:r w:rsidRPr="00657D1E">
        <w:rPr>
          <w:rFonts w:ascii="Theinhardt Light" w:hAnsi="Theinhardt Light"/>
          <w:sz w:val="24"/>
          <w:szCs w:val="24"/>
        </w:rPr>
        <w:t xml:space="preserve">Press </w:t>
      </w:r>
      <w:proofErr w:type="spellStart"/>
      <w:r w:rsidRPr="00657D1E">
        <w:rPr>
          <w:rFonts w:ascii="Theinhardt Light" w:hAnsi="Theinhardt Light"/>
          <w:sz w:val="24"/>
          <w:szCs w:val="24"/>
        </w:rPr>
        <w:t>Release</w:t>
      </w:r>
      <w:proofErr w:type="spellEnd"/>
      <w:r w:rsidR="00D61E64" w:rsidRPr="00657D1E">
        <w:rPr>
          <w:rFonts w:ascii="Theinhardt Light" w:hAnsi="Theinhardt Light"/>
          <w:sz w:val="24"/>
          <w:szCs w:val="24"/>
        </w:rPr>
        <w:t>: prasa.artmuseum.pl</w:t>
      </w:r>
    </w:p>
    <w:sectPr w:rsidR="00D61E64" w:rsidRPr="00657D1E">
      <w:headerReference w:type="default" r:id="rId10"/>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B82" w:rsidRDefault="00DA3B82">
      <w:r>
        <w:separator/>
      </w:r>
    </w:p>
  </w:endnote>
  <w:endnote w:type="continuationSeparator" w:id="0">
    <w:p w:rsidR="00DA3B82" w:rsidRDefault="00DA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Medium">
    <w:panose1 w:val="020B0603020202020204"/>
    <w:charset w:val="00"/>
    <w:family w:val="swiss"/>
    <w:notTrueType/>
    <w:pitch w:val="variable"/>
    <w:sig w:usb0="A00000AF" w:usb1="5000206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B82" w:rsidRDefault="00DA3B82">
      <w:r>
        <w:separator/>
      </w:r>
    </w:p>
  </w:footnote>
  <w:footnote w:type="continuationSeparator" w:id="0">
    <w:p w:rsidR="00DA3B82" w:rsidRDefault="00DA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9"/>
    <w:rsid w:val="0006390B"/>
    <w:rsid w:val="000839A1"/>
    <w:rsid w:val="001417E8"/>
    <w:rsid w:val="001C0957"/>
    <w:rsid w:val="001D47CF"/>
    <w:rsid w:val="003264AF"/>
    <w:rsid w:val="003E5756"/>
    <w:rsid w:val="00403780"/>
    <w:rsid w:val="00437035"/>
    <w:rsid w:val="004E5AD1"/>
    <w:rsid w:val="00657D1E"/>
    <w:rsid w:val="007A2DFE"/>
    <w:rsid w:val="007B43EF"/>
    <w:rsid w:val="007D6D0B"/>
    <w:rsid w:val="008F1379"/>
    <w:rsid w:val="00940A88"/>
    <w:rsid w:val="009C499B"/>
    <w:rsid w:val="009C6BCD"/>
    <w:rsid w:val="009E2159"/>
    <w:rsid w:val="00A36278"/>
    <w:rsid w:val="00A74F9D"/>
    <w:rsid w:val="00AD347A"/>
    <w:rsid w:val="00AF6446"/>
    <w:rsid w:val="00B55CEA"/>
    <w:rsid w:val="00B7695F"/>
    <w:rsid w:val="00B77B09"/>
    <w:rsid w:val="00C26A69"/>
    <w:rsid w:val="00C67E68"/>
    <w:rsid w:val="00C95D89"/>
    <w:rsid w:val="00CF737D"/>
    <w:rsid w:val="00D61E64"/>
    <w:rsid w:val="00DA3B82"/>
    <w:rsid w:val="00E629FD"/>
    <w:rsid w:val="00E8310B"/>
    <w:rsid w:val="00EA2EE6"/>
    <w:rsid w:val="00F123FC"/>
    <w:rsid w:val="00FA0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CD1A"/>
  <w15:docId w15:val="{77958BC4-F21E-4EB4-8A5C-FD3ABF8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e">
    <w:name w:val="Domyślne"/>
    <w:rPr>
      <w:rFonts w:ascii="Helvetica" w:hAnsi="Arial Unicode MS" w:cs="Arial Unicode MS"/>
      <w:color w:val="000000"/>
      <w:sz w:val="22"/>
      <w:szCs w:val="22"/>
      <w:u w:color="000000"/>
    </w:rPr>
  </w:style>
  <w:style w:type="table" w:styleId="Tabela-Siatka">
    <w:name w:val="Table Grid"/>
    <w:basedOn w:val="Standardowy"/>
    <w:uiPriority w:val="39"/>
    <w:rsid w:val="00E6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F644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bdr w:val="none" w:sz="0" w:space="0" w:color="auto"/>
    </w:rPr>
  </w:style>
  <w:style w:type="character" w:customStyle="1" w:styleId="apple-converted-space">
    <w:name w:val="apple-converted-space"/>
    <w:basedOn w:val="Domylnaczcionkaakapitu"/>
    <w:qFormat/>
    <w:rsid w:val="004E5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winczakiewicz@artmuseu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asa@artmuseum.p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AC66-04A7-4F32-92E9-5909636E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593</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Andino Velez</dc:creator>
  <cp:lastModifiedBy>Iga Winczakiewicz</cp:lastModifiedBy>
  <cp:revision>19</cp:revision>
  <dcterms:created xsi:type="dcterms:W3CDTF">2017-06-20T13:43:00Z</dcterms:created>
  <dcterms:modified xsi:type="dcterms:W3CDTF">2017-07-10T12:56:00Z</dcterms:modified>
</cp:coreProperties>
</file>