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ny"/>
        <w:spacing w:line="280" w:lineRule="exact"/>
        <w:rPr>
          <w:rFonts w:ascii="Times New Roman Bold"/>
        </w:rPr>
      </w:pPr>
      <w:r>
        <w:rPr>
          <w:rFonts w:ascii="Times New Roman Bold"/>
          <w:sz w:val="24"/>
          <w:szCs w:val="24"/>
          <w:rtl w:val="0"/>
        </w:rPr>
        <w:drawing>
          <wp:anchor distT="152400" distB="152400" distL="152400" distR="152400" simplePos="0" relativeHeight="251659264" behindDoc="0" locked="0" layoutInCell="1" allowOverlap="1">
            <wp:simplePos x="0" y="0"/>
            <wp:positionH relativeFrom="page">
              <wp:posOffset>5397499</wp:posOffset>
            </wp:positionH>
            <wp:positionV relativeFrom="line">
              <wp:posOffset>-8884</wp:posOffset>
            </wp:positionV>
            <wp:extent cx="2152591" cy="2152591"/>
            <wp:effectExtent l="0" t="0" r="0" b="0"/>
            <wp:wrapThrough wrapText="bothSides" distL="152400" distR="152400">
              <wp:wrapPolygon edited="1">
                <wp:start x="10695" y="612"/>
                <wp:lineTo x="9661" y="675"/>
                <wp:lineTo x="8205" y="949"/>
                <wp:lineTo x="6687" y="1477"/>
                <wp:lineTo x="5358" y="2194"/>
                <wp:lineTo x="4155" y="3080"/>
                <wp:lineTo x="2932" y="4345"/>
                <wp:lineTo x="2067" y="5569"/>
                <wp:lineTo x="1392" y="6898"/>
                <wp:lineTo x="886" y="8437"/>
                <wp:lineTo x="633" y="10104"/>
                <wp:lineTo x="675" y="11960"/>
                <wp:lineTo x="949" y="13416"/>
                <wp:lineTo x="1477" y="14934"/>
                <wp:lineTo x="2194" y="16263"/>
                <wp:lineTo x="3080" y="17466"/>
                <wp:lineTo x="4240" y="18605"/>
                <wp:lineTo x="5463" y="19491"/>
                <wp:lineTo x="6792" y="20187"/>
                <wp:lineTo x="8290" y="20693"/>
                <wp:lineTo x="9872" y="20967"/>
                <wp:lineTo x="11749" y="20967"/>
                <wp:lineTo x="13184" y="20735"/>
                <wp:lineTo x="14576" y="20292"/>
                <wp:lineTo x="15841" y="19680"/>
                <wp:lineTo x="17107" y="18837"/>
                <wp:lineTo x="18162" y="17866"/>
                <wp:lineTo x="19048" y="16812"/>
                <wp:lineTo x="19870" y="15504"/>
                <wp:lineTo x="20482" y="14048"/>
                <wp:lineTo x="20862" y="12551"/>
                <wp:lineTo x="21009" y="10927"/>
                <wp:lineTo x="20904" y="9323"/>
                <wp:lineTo x="20566" y="7826"/>
                <wp:lineTo x="20081" y="6602"/>
                <wp:lineTo x="20060" y="3607"/>
                <wp:lineTo x="20060" y="7509"/>
                <wp:lineTo x="20313" y="8290"/>
                <wp:lineTo x="20587" y="9787"/>
                <wp:lineTo x="20609" y="11623"/>
                <wp:lineTo x="20419" y="12888"/>
                <wp:lineTo x="20060" y="14091"/>
                <wp:lineTo x="20060" y="7509"/>
                <wp:lineTo x="20060" y="3607"/>
                <wp:lineTo x="20039" y="612"/>
                <wp:lineTo x="16537" y="612"/>
                <wp:lineTo x="16179" y="2130"/>
                <wp:lineTo x="15652" y="1835"/>
                <wp:lineTo x="14597" y="1364"/>
                <wp:lineTo x="14618" y="1772"/>
                <wp:lineTo x="16073" y="2510"/>
                <wp:lineTo x="15441" y="5147"/>
                <wp:lineTo x="14597" y="1772"/>
                <wp:lineTo x="14618" y="1772"/>
                <wp:lineTo x="14597" y="1364"/>
                <wp:lineTo x="14470" y="1308"/>
                <wp:lineTo x="14302" y="612"/>
                <wp:lineTo x="10821" y="612"/>
                <wp:lineTo x="10821" y="1013"/>
                <wp:lineTo x="10821" y="14766"/>
                <wp:lineTo x="13648" y="14766"/>
                <wp:lineTo x="13648" y="9661"/>
                <wp:lineTo x="15420" y="15040"/>
                <wp:lineTo x="17002" y="9766"/>
                <wp:lineTo x="17023" y="14766"/>
                <wp:lineTo x="19786" y="14766"/>
                <wp:lineTo x="19174" y="15968"/>
                <wp:lineTo x="18288" y="17191"/>
                <wp:lineTo x="17255" y="18225"/>
                <wp:lineTo x="16031" y="19132"/>
                <wp:lineTo x="14766" y="19807"/>
                <wp:lineTo x="13331" y="20313"/>
                <wp:lineTo x="11834" y="20587"/>
                <wp:lineTo x="9787" y="20587"/>
                <wp:lineTo x="8459" y="20355"/>
                <wp:lineTo x="7087" y="19912"/>
                <wp:lineTo x="5716" y="19216"/>
                <wp:lineTo x="4430" y="18288"/>
                <wp:lineTo x="3396" y="17255"/>
                <wp:lineTo x="2489" y="16031"/>
                <wp:lineTo x="1814" y="14766"/>
                <wp:lineTo x="1308" y="13331"/>
                <wp:lineTo x="1034" y="11834"/>
                <wp:lineTo x="1013" y="9998"/>
                <wp:lineTo x="1223" y="8627"/>
                <wp:lineTo x="1666" y="7193"/>
                <wp:lineTo x="2320" y="5864"/>
                <wp:lineTo x="3143" y="4662"/>
                <wp:lineTo x="4155" y="3586"/>
                <wp:lineTo x="5358" y="2637"/>
                <wp:lineTo x="6666" y="1898"/>
                <wp:lineTo x="8058" y="1371"/>
                <wp:lineTo x="9598" y="1055"/>
                <wp:lineTo x="10821" y="1013"/>
                <wp:lineTo x="10821" y="612"/>
                <wp:lineTo x="10695" y="61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2152591" cy="2152591"/>
                    </a:xfrm>
                    <a:prstGeom prst="rect">
                      <a:avLst/>
                    </a:prstGeom>
                    <a:ln w="12700" cap="flat">
                      <a:noFill/>
                      <a:miter lim="400000"/>
                    </a:ln>
                    <a:effectLst/>
                  </pic:spPr>
                </pic:pic>
              </a:graphicData>
            </a:graphic>
          </wp:anchor>
        </w:drawing>
      </w: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Times New Roman Bold"/>
        </w:rPr>
      </w:pPr>
    </w:p>
    <w:p>
      <w:pPr>
        <w:pStyle w:val="Normalny"/>
        <w:spacing w:line="280" w:lineRule="exact"/>
        <w:rPr>
          <w:rFonts w:ascii="MuseumSztukiNovo5-SemiBold" w:cs="MuseumSztukiNovo5-SemiBold" w:hAnsi="MuseumSztukiNovo5-SemiBold" w:eastAsia="MuseumSztukiNovo5-SemiBold"/>
          <w:b w:val="1"/>
          <w:bCs w:val="1"/>
          <w:sz w:val="32"/>
          <w:szCs w:val="32"/>
        </w:rPr>
      </w:pPr>
      <w:r>
        <w:rPr>
          <w:rFonts w:ascii="MuseumSztukiNovo5-SemiBold"/>
          <w:b w:val="1"/>
          <w:bCs w:val="1"/>
          <w:sz w:val="32"/>
          <w:szCs w:val="32"/>
          <w:rtl w:val="0"/>
          <w:lang w:val="en-US"/>
        </w:rPr>
        <w:t>J</w:t>
      </w:r>
      <w:r>
        <w:rPr>
          <w:rFonts w:hAnsi="MuseumSztukiNovo5-SemiBold" w:hint="default"/>
          <w:b w:val="1"/>
          <w:bCs w:val="1"/>
          <w:sz w:val="32"/>
          <w:szCs w:val="32"/>
          <w:rtl w:val="0"/>
          <w:lang w:val="en-US"/>
        </w:rPr>
        <w:t>ú</w:t>
      </w:r>
      <w:r>
        <w:rPr>
          <w:rFonts w:ascii="MuseumSztukiNovo5-SemiBold"/>
          <w:b w:val="1"/>
          <w:bCs w:val="1"/>
          <w:sz w:val="32"/>
          <w:szCs w:val="32"/>
          <w:rtl w:val="0"/>
          <w:lang w:val="en-US"/>
        </w:rPr>
        <w:t>lius Koller</w:t>
      </w:r>
    </w:p>
    <w:p>
      <w:pPr>
        <w:pStyle w:val="Normalny"/>
        <w:spacing w:line="280" w:lineRule="exact"/>
        <w:rPr>
          <w:rFonts w:ascii="MuseumSztukiNovo5-SemiBold" w:cs="MuseumSztukiNovo5-SemiBold" w:hAnsi="MuseumSztukiNovo5-SemiBold" w:eastAsia="MuseumSztukiNovo5-SemiBold"/>
          <w:b w:val="1"/>
          <w:bCs w:val="1"/>
          <w:sz w:val="32"/>
          <w:szCs w:val="32"/>
        </w:rPr>
      </w:pPr>
    </w:p>
    <w:p>
      <w:pPr>
        <w:pStyle w:val="Normalny"/>
        <w:spacing w:line="280" w:lineRule="exact"/>
        <w:rPr>
          <w:rFonts w:ascii="MuseumSztukiNovo5-SemiBold" w:cs="MuseumSztukiNovo5-SemiBold" w:hAnsi="MuseumSztukiNovo5-SemiBold" w:eastAsia="MuseumSztukiNovo5-SemiBold"/>
          <w:b w:val="1"/>
          <w:bCs w:val="1"/>
          <w:sz w:val="32"/>
          <w:szCs w:val="32"/>
        </w:rPr>
      </w:pPr>
      <w:r>
        <w:rPr>
          <w:rFonts w:hAnsi="MuseumSztukiNovo5-SemiBold" w:hint="default"/>
          <w:b w:val="1"/>
          <w:bCs w:val="1"/>
          <w:sz w:val="32"/>
          <w:szCs w:val="32"/>
          <w:rtl w:val="0"/>
          <w:lang w:val="en-US"/>
        </w:rPr>
        <w:t>„</w:t>
      </w:r>
      <w:r>
        <w:rPr>
          <w:rFonts w:ascii="MuseumSztukiNovo5-SemiBold"/>
          <w:b w:val="1"/>
          <w:bCs w:val="1"/>
          <w:sz w:val="32"/>
          <w:szCs w:val="32"/>
          <w:rtl w:val="0"/>
          <w:lang w:val="en-US"/>
        </w:rPr>
        <w:t>?</w:t>
      </w:r>
      <w:r>
        <w:rPr>
          <w:rFonts w:hAnsi="MuseumSztukiNovo5-SemiBold" w:hint="default"/>
          <w:b w:val="1"/>
          <w:bCs w:val="1"/>
          <w:sz w:val="32"/>
          <w:szCs w:val="32"/>
          <w:rtl w:val="0"/>
          <w:lang w:val="en-US"/>
        </w:rPr>
        <w:t>”</w:t>
      </w:r>
    </w:p>
    <w:p>
      <w:pPr>
        <w:pStyle w:val="Normalny"/>
        <w:spacing w:line="280" w:lineRule="exact"/>
        <w:rPr>
          <w:rFonts w:ascii="MuseumSztukiNovo5-SemiBold" w:cs="MuseumSztukiNovo5-SemiBold" w:hAnsi="MuseumSztukiNovo5-SemiBold" w:eastAsia="MuseumSztukiNovo5-SemiBold"/>
          <w:b w:val="1"/>
          <w:bCs w:val="1"/>
          <w:sz w:val="28"/>
          <w:szCs w:val="28"/>
        </w:rPr>
      </w:pPr>
    </w:p>
    <w:p>
      <w:pPr>
        <w:pStyle w:val="Normalny"/>
        <w:spacing w:line="280" w:lineRule="exact"/>
        <w:jc w:val="both"/>
        <w:rPr>
          <w:rFonts w:ascii="MuseumSztukiNovo5-SemiBold" w:cs="MuseumSztukiNovo5-SemiBold" w:hAnsi="MuseumSztukiNovo5-SemiBold" w:eastAsia="MuseumSztukiNovo5-SemiBold"/>
          <w:b w:val="1"/>
          <w:bCs w:val="1"/>
          <w:sz w:val="28"/>
          <w:szCs w:val="28"/>
        </w:rPr>
      </w:pPr>
    </w:p>
    <w:p>
      <w:pPr>
        <w:pStyle w:val="Normalny"/>
        <w:spacing w:line="280" w:lineRule="exact"/>
        <w:jc w:val="both"/>
        <w:rPr>
          <w:rFonts w:ascii="MuseumSztukiNovo5-SemiBold" w:cs="MuseumSztukiNovo5-SemiBold" w:hAnsi="MuseumSztukiNovo5-SemiBold" w:eastAsia="MuseumSztukiNovo5-SemiBold"/>
          <w:b w:val="1"/>
          <w:bCs w:val="1"/>
          <w:sz w:val="28"/>
          <w:szCs w:val="28"/>
        </w:rPr>
      </w:pPr>
      <w:r>
        <w:rPr>
          <w:rFonts w:ascii="MuseumSztukiNovo5-SemiBold"/>
          <w:b w:val="1"/>
          <w:bCs w:val="1"/>
          <w:sz w:val="28"/>
          <w:szCs w:val="28"/>
          <w:rtl w:val="0"/>
          <w:lang w:val="en-US"/>
        </w:rPr>
        <w:t>September 25th, 2015 - January 10th, 2016</w:t>
      </w:r>
    </w:p>
    <w:p>
      <w:pPr>
        <w:pStyle w:val="Normalny"/>
        <w:spacing w:line="280" w:lineRule="exact"/>
        <w:jc w:val="both"/>
        <w:rPr>
          <w:rFonts w:ascii="MuseumSztukiNovo5-SemiBold" w:cs="MuseumSztukiNovo5-SemiBold" w:hAnsi="MuseumSztukiNovo5-SemiBold" w:eastAsia="MuseumSztukiNovo5-SemiBold"/>
          <w:b w:val="1"/>
          <w:bCs w:val="1"/>
          <w:sz w:val="28"/>
          <w:szCs w:val="28"/>
        </w:rPr>
      </w:pPr>
      <w:r>
        <w:rPr>
          <w:rFonts w:ascii="MuseumSztukiNovo5-SemiBold"/>
          <w:b w:val="1"/>
          <w:bCs w:val="1"/>
          <w:sz w:val="28"/>
          <w:szCs w:val="28"/>
          <w:rtl w:val="0"/>
          <w:lang w:val="en-US"/>
        </w:rPr>
        <w:t>opening:  September 25th, 2015, 7 P.M.</w:t>
      </w:r>
    </w:p>
    <w:p>
      <w:pPr>
        <w:pStyle w:val="Normalny"/>
        <w:spacing w:line="280" w:lineRule="exact"/>
        <w:rPr>
          <w:rFonts w:ascii="MuseumSztukiNovo5-SemiBold" w:cs="MuseumSztukiNovo5-SemiBold" w:hAnsi="MuseumSztukiNovo5-SemiBold" w:eastAsia="MuseumSztukiNovo5-SemiBold"/>
          <w:b w:val="1"/>
          <w:bCs w:val="1"/>
          <w:sz w:val="28"/>
          <w:szCs w:val="28"/>
        </w:rPr>
      </w:pPr>
    </w:p>
    <w:p>
      <w:pPr>
        <w:pStyle w:val="Normalny"/>
        <w:spacing w:line="280" w:lineRule="exact"/>
        <w:rPr>
          <w:rFonts w:ascii="MuseumSztukiNovo5-SemiBold" w:cs="MuseumSztukiNovo5-SemiBold" w:hAnsi="MuseumSztukiNovo5-SemiBold" w:eastAsia="MuseumSztukiNovo5-SemiBold"/>
          <w:b w:val="1"/>
          <w:bCs w:val="1"/>
          <w:sz w:val="28"/>
          <w:szCs w:val="28"/>
        </w:rPr>
      </w:pPr>
    </w:p>
    <w:p>
      <w:pPr>
        <w:pStyle w:val="Normalny"/>
        <w:spacing w:line="280" w:lineRule="exact"/>
        <w:rPr>
          <w:rFonts w:ascii="MuseumSztukiNovo5-SemiBold" w:cs="MuseumSztukiNovo5-SemiBold" w:hAnsi="MuseumSztukiNovo5-SemiBold" w:eastAsia="MuseumSztukiNovo5-SemiBold"/>
          <w:b w:val="1"/>
          <w:bCs w:val="1"/>
        </w:rPr>
      </w:pPr>
    </w:p>
    <w:p>
      <w:pPr>
        <w:pStyle w:val="Normalny"/>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Curators: Daniel Gr</w:t>
      </w:r>
      <w:r>
        <w:rPr>
          <w:rFonts w:hAnsi="MuseumSztukiNovo5-SemiBold" w:hint="default"/>
          <w:b w:val="1"/>
          <w:bCs w:val="1"/>
          <w:sz w:val="24"/>
          <w:szCs w:val="24"/>
          <w:rtl w:val="0"/>
          <w:lang w:val="en-US"/>
        </w:rPr>
        <w:t>úň</w:t>
      </w:r>
      <w:r>
        <w:rPr>
          <w:rFonts w:ascii="MuseumSztukiNovo5-SemiBold"/>
          <w:b w:val="1"/>
          <w:bCs w:val="1"/>
          <w:sz w:val="24"/>
          <w:szCs w:val="24"/>
          <w:rtl w:val="0"/>
          <w:lang w:val="en-US"/>
        </w:rPr>
        <w:t>, Kathrin Rhomberg, and Georg Sch</w:t>
      </w:r>
      <w:r>
        <w:rPr>
          <w:rFonts w:hAnsi="MuseumSztukiNovo5-SemiBold" w:hint="default"/>
          <w:b w:val="1"/>
          <w:bCs w:val="1"/>
          <w:sz w:val="24"/>
          <w:szCs w:val="24"/>
          <w:rtl w:val="0"/>
          <w:lang w:val="en-US"/>
        </w:rPr>
        <w:t>ö</w:t>
      </w:r>
      <w:r>
        <w:rPr>
          <w:rFonts w:ascii="MuseumSztukiNovo5-SemiBold"/>
          <w:b w:val="1"/>
          <w:bCs w:val="1"/>
          <w:sz w:val="24"/>
          <w:szCs w:val="24"/>
          <w:rtl w:val="0"/>
          <w:lang w:val="en-US"/>
        </w:rPr>
        <w:t>llhammer</w:t>
      </w:r>
    </w:p>
    <w:p>
      <w:pPr>
        <w:pStyle w:val="Normalny"/>
        <w:spacing w:line="280" w:lineRule="exact"/>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Exhibition Architecture: Josef Dabering</w:t>
      </w:r>
    </w:p>
    <w:p>
      <w:pPr>
        <w:pStyle w:val="Normalny"/>
        <w:spacing w:line="280" w:lineRule="exact"/>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Curatorial collaboration on the side of the Museum: Magda Lipska</w:t>
      </w:r>
    </w:p>
    <w:p>
      <w:pPr>
        <w:pStyle w:val="Normalny"/>
        <w:spacing w:line="280" w:lineRule="exact"/>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Producers: Katarzyna Bia</w:t>
      </w:r>
      <w:r>
        <w:rPr>
          <w:rFonts w:hAnsi="MuseumSztukiNovo5-SemiBold" w:hint="default"/>
          <w:b w:val="1"/>
          <w:bCs w:val="1"/>
          <w:sz w:val="24"/>
          <w:szCs w:val="24"/>
          <w:rtl w:val="0"/>
          <w:lang w:val="en-US"/>
        </w:rPr>
        <w:t>ł</w:t>
      </w:r>
      <w:r>
        <w:rPr>
          <w:rFonts w:ascii="MuseumSztukiNovo5-SemiBold"/>
          <w:b w:val="1"/>
          <w:bCs w:val="1"/>
          <w:sz w:val="24"/>
          <w:szCs w:val="24"/>
          <w:rtl w:val="0"/>
          <w:lang w:val="en-US"/>
        </w:rPr>
        <w:t>ach, Micha</w:t>
      </w:r>
      <w:r>
        <w:rPr>
          <w:rFonts w:hAnsi="MuseumSztukiNovo5-SemiBold" w:hint="default"/>
          <w:b w:val="1"/>
          <w:bCs w:val="1"/>
          <w:sz w:val="24"/>
          <w:szCs w:val="24"/>
          <w:rtl w:val="0"/>
          <w:lang w:val="en-US"/>
        </w:rPr>
        <w:t xml:space="preserve">ł </w:t>
      </w:r>
      <w:r>
        <w:rPr>
          <w:rFonts w:ascii="MuseumSztukiNovo5-SemiBold"/>
          <w:b w:val="1"/>
          <w:bCs w:val="1"/>
          <w:sz w:val="24"/>
          <w:szCs w:val="24"/>
          <w:rtl w:val="0"/>
          <w:lang w:val="en-US"/>
        </w:rPr>
        <w:t>Zi</w:t>
      </w:r>
      <w:r>
        <w:rPr>
          <w:rFonts w:hAnsi="MuseumSztukiNovo5-SemiBold" w:hint="default"/>
          <w:b w:val="1"/>
          <w:bCs w:val="1"/>
          <w:sz w:val="24"/>
          <w:szCs w:val="24"/>
          <w:rtl w:val="0"/>
          <w:lang w:val="en-US"/>
        </w:rPr>
        <w:t>ę</w:t>
      </w:r>
      <w:r>
        <w:rPr>
          <w:rFonts w:ascii="MuseumSztukiNovo5-SemiBold"/>
          <w:b w:val="1"/>
          <w:bCs w:val="1"/>
          <w:sz w:val="24"/>
          <w:szCs w:val="24"/>
          <w:rtl w:val="0"/>
          <w:lang w:val="en-US"/>
        </w:rPr>
        <w:t>tek</w:t>
      </w:r>
    </w:p>
    <w:p>
      <w:pPr>
        <w:pStyle w:val="Normalny"/>
        <w:spacing w:line="160" w:lineRule="exact"/>
        <w:rPr>
          <w:rFonts w:ascii="Times New Roman Bold" w:cs="Times New Roman Bold" w:hAnsi="Times New Roman Bold" w:eastAsia="Times New Roman Bold"/>
        </w:rPr>
      </w:pPr>
    </w:p>
    <w:p>
      <w:pPr>
        <w:pStyle w:val="Normalny"/>
        <w:rPr>
          <w:rFonts w:ascii="Times New Roman Bold" w:cs="Times New Roman Bold" w:hAnsi="Times New Roman Bold" w:eastAsia="Times New Roman Bold"/>
        </w:rPr>
      </w:pPr>
    </w:p>
    <w:p>
      <w:pPr>
        <w:pStyle w:val="Normalny"/>
        <w:rPr>
          <w:rFonts w:ascii="Times New Roman Bold" w:cs="Times New Roman Bold" w:hAnsi="Times New Roman Bold" w:eastAsia="Times New Roman Bold"/>
        </w:rPr>
      </w:pPr>
    </w:p>
    <w:p>
      <w:pPr>
        <w:pStyle w:val="Normalny"/>
        <w:tabs>
          <w:tab w:val="left" w:pos="2694"/>
        </w:tabs>
        <w:spacing w:line="360" w:lineRule="auto"/>
        <w:rPr>
          <w:rFonts w:ascii="Theinhardt Light" w:cs="Theinhardt Light" w:hAnsi="Theinhardt Light" w:eastAsia="Theinhardt Light"/>
        </w:rPr>
      </w:pPr>
      <w:r>
        <w:rPr>
          <w:rFonts w:hAnsi="Theinhardt Light" w:hint="default"/>
          <w:sz w:val="24"/>
          <w:szCs w:val="24"/>
          <w:rtl w:val="0"/>
          <w:lang w:val="en-US"/>
        </w:rPr>
        <w:t>“</w:t>
      </w:r>
      <w:r>
        <w:rPr>
          <w:rFonts w:ascii="Theinhardt Light"/>
          <w:sz w:val="24"/>
          <w:szCs w:val="24"/>
          <w:rtl w:val="0"/>
          <w:lang w:val="en-US"/>
        </w:rPr>
        <w:t>?</w:t>
      </w:r>
      <w:r>
        <w:rPr>
          <w:rFonts w:hAnsi="Theinhardt Light" w:hint="default"/>
          <w:sz w:val="24"/>
          <w:szCs w:val="24"/>
          <w:rtl w:val="0"/>
          <w:lang w:val="en-US"/>
        </w:rPr>
        <w:t xml:space="preserve">” </w:t>
      </w:r>
      <w:r>
        <w:rPr>
          <w:rFonts w:ascii="Theinhardt Light"/>
          <w:sz w:val="24"/>
          <w:szCs w:val="24"/>
          <w:rtl w:val="0"/>
          <w:lang w:val="en-US"/>
        </w:rPr>
        <w:t>at the Museum of Modern Art in Warsaw presents a new appraisal of the work of the Slovak artist J</w:t>
      </w:r>
      <w:r>
        <w:rPr>
          <w:rFonts w:hAnsi="Theinhardt Light" w:hint="default"/>
          <w:sz w:val="24"/>
          <w:szCs w:val="24"/>
          <w:rtl w:val="0"/>
          <w:lang w:val="en-US"/>
        </w:rPr>
        <w:t>ú</w:t>
      </w:r>
      <w:r>
        <w:rPr>
          <w:rFonts w:ascii="Theinhardt Light"/>
          <w:sz w:val="24"/>
          <w:szCs w:val="24"/>
          <w:rtl w:val="0"/>
          <w:lang w:val="en-US"/>
        </w:rPr>
        <w:t>lius Koller (1939-2007), an iconic figure in the history of the neo-avant-garde and post-avant-garde. Since the rediscovery of his work in the early 1990s by Slovak artists and intellectuals, his work has been an important inspiration for artists throughout Eastern Europe. Only recently has Koller</w:t>
      </w:r>
      <w:r>
        <w:rPr>
          <w:rFonts w:hAnsi="Theinhardt Light" w:hint="default"/>
          <w:sz w:val="24"/>
          <w:szCs w:val="24"/>
          <w:rtl w:val="0"/>
          <w:lang w:val="en-US"/>
        </w:rPr>
        <w:t>’</w:t>
      </w:r>
      <w:r>
        <w:rPr>
          <w:rFonts w:ascii="Theinhardt Light"/>
          <w:sz w:val="24"/>
          <w:szCs w:val="24"/>
          <w:rtl w:val="0"/>
          <w:lang w:val="en-US"/>
        </w:rPr>
        <w:t>s practice received wider recognition from the Western art world, becoming a key reference point for a younger generation of artists worldwide.</w:t>
      </w:r>
    </w:p>
    <w:p>
      <w:pPr>
        <w:pStyle w:val="Normalny"/>
        <w:tabs>
          <w:tab w:val="left" w:pos="2694"/>
        </w:tabs>
        <w:spacing w:line="360" w:lineRule="auto"/>
        <w:rPr>
          <w:rFonts w:ascii="Theinhardt Light" w:cs="Theinhardt Light" w:hAnsi="Theinhardt Light" w:eastAsia="Theinhardt Light"/>
        </w:rPr>
      </w:pPr>
    </w:p>
    <w:p>
      <w:pPr>
        <w:pStyle w:val="Normalny"/>
        <w:tabs>
          <w:tab w:val="left" w:pos="2694"/>
        </w:tabs>
        <w:spacing w:line="360" w:lineRule="auto"/>
        <w:rPr>
          <w:rFonts w:ascii="Theinhardt Light" w:cs="Theinhardt Light" w:hAnsi="Theinhardt Light" w:eastAsia="Theinhardt Light"/>
        </w:rPr>
      </w:pPr>
      <w:r>
        <w:rPr>
          <w:rFonts w:ascii="Theinhardt Light"/>
          <w:sz w:val="24"/>
          <w:szCs w:val="24"/>
          <w:rtl w:val="0"/>
          <w:lang w:val="en-US"/>
        </w:rPr>
        <w:t>The exhibition includes a large number of works, archival documents, and ephemera produced by J</w:t>
      </w:r>
      <w:r>
        <w:rPr>
          <w:rFonts w:hAnsi="Theinhardt Light" w:hint="default"/>
          <w:sz w:val="24"/>
          <w:szCs w:val="24"/>
          <w:rtl w:val="0"/>
          <w:lang w:val="en-US"/>
        </w:rPr>
        <w:t>ú</w:t>
      </w:r>
      <w:r>
        <w:rPr>
          <w:rFonts w:ascii="Theinhardt Light"/>
          <w:sz w:val="24"/>
          <w:szCs w:val="24"/>
          <w:rtl w:val="0"/>
          <w:lang w:val="en-US"/>
        </w:rPr>
        <w:t>lius Koller not previously shown to the public. In his artistic practice, Koller deliberately multiplied and varied his works, dignifying worthless objects of common use with his personal signature and thus undermining the art world</w:t>
      </w:r>
      <w:r>
        <w:rPr>
          <w:rFonts w:hAnsi="Theinhardt Light" w:hint="default"/>
          <w:sz w:val="24"/>
          <w:szCs w:val="24"/>
          <w:rtl w:val="0"/>
          <w:lang w:val="en-US"/>
        </w:rPr>
        <w:t>’</w:t>
      </w:r>
      <w:r>
        <w:rPr>
          <w:rFonts w:ascii="Theinhardt Light"/>
          <w:sz w:val="24"/>
          <w:szCs w:val="24"/>
          <w:rtl w:val="0"/>
          <w:lang w:val="en-US"/>
        </w:rPr>
        <w:t>s principles and commodity rules. Disturbing the significance of precious singular art object, the artist made full use for documentary purposes of amateur photography and copy machine The exhibition shows the breadth, scale, and the conceptual rigor of Koller</w:t>
      </w:r>
      <w:r>
        <w:rPr>
          <w:rFonts w:hAnsi="Theinhardt Light" w:hint="default"/>
          <w:sz w:val="24"/>
          <w:szCs w:val="24"/>
          <w:rtl w:val="0"/>
          <w:lang w:val="en-US"/>
        </w:rPr>
        <w:t>´</w:t>
      </w:r>
      <w:r>
        <w:rPr>
          <w:rFonts w:ascii="Theinhardt Light"/>
          <w:sz w:val="24"/>
          <w:szCs w:val="24"/>
          <w:rtl w:val="0"/>
          <w:lang w:val="en-US"/>
        </w:rPr>
        <w:t>s work, as well as the wide range of his artistic methods. It also aims to generate a new approach in the interpretation and presentation of the artist</w:t>
      </w:r>
      <w:r>
        <w:rPr>
          <w:rFonts w:hAnsi="Theinhardt Light" w:hint="default"/>
          <w:sz w:val="24"/>
          <w:szCs w:val="24"/>
          <w:rtl w:val="0"/>
          <w:lang w:val="en-US"/>
        </w:rPr>
        <w:t>’</w:t>
      </w:r>
      <w:r>
        <w:rPr>
          <w:rFonts w:ascii="Theinhardt Light"/>
          <w:sz w:val="24"/>
          <w:szCs w:val="24"/>
          <w:rtl w:val="0"/>
          <w:lang w:val="en-US"/>
        </w:rPr>
        <w:t>s practice. Of considered attention is Koller</w:t>
      </w:r>
      <w:r>
        <w:rPr>
          <w:rFonts w:hAnsi="Theinhardt Light" w:hint="default"/>
          <w:sz w:val="24"/>
          <w:szCs w:val="24"/>
          <w:rtl w:val="0"/>
          <w:lang w:val="en-US"/>
        </w:rPr>
        <w:t>’</w:t>
      </w:r>
      <w:r>
        <w:rPr>
          <w:rFonts w:ascii="Theinhardt Light"/>
          <w:sz w:val="24"/>
          <w:szCs w:val="24"/>
          <w:rtl w:val="0"/>
          <w:lang w:val="en-US"/>
        </w:rPr>
        <w:t xml:space="preserve">s strategy of using real objects, the real world, and everyday life as a given program for displacement; a strategy intended to put an end to aesthetics and to create a </w:t>
      </w:r>
      <w:r>
        <w:rPr>
          <w:rFonts w:hAnsi="Theinhardt Light" w:hint="default"/>
          <w:sz w:val="24"/>
          <w:szCs w:val="24"/>
          <w:rtl w:val="0"/>
          <w:lang w:val="en-US"/>
        </w:rPr>
        <w:t>“</w:t>
      </w:r>
      <w:r>
        <w:rPr>
          <w:rFonts w:ascii="Theinhardt Light"/>
          <w:sz w:val="24"/>
          <w:szCs w:val="24"/>
          <w:rtl w:val="0"/>
          <w:lang w:val="en-US"/>
        </w:rPr>
        <w:t>new cultural situation,</w:t>
      </w:r>
      <w:r>
        <w:rPr>
          <w:rFonts w:hAnsi="Theinhardt Light" w:hint="default"/>
          <w:sz w:val="24"/>
          <w:szCs w:val="24"/>
          <w:rtl w:val="0"/>
          <w:lang w:val="en-US"/>
        </w:rPr>
        <w:t xml:space="preserve">” </w:t>
      </w:r>
      <w:r>
        <w:rPr>
          <w:rFonts w:ascii="Theinhardt Light"/>
          <w:sz w:val="24"/>
          <w:szCs w:val="24"/>
          <w:rtl w:val="0"/>
          <w:lang w:val="en-US"/>
        </w:rPr>
        <w:t xml:space="preserve">resulting in a </w:t>
      </w:r>
      <w:r>
        <w:rPr>
          <w:rFonts w:hAnsi="Theinhardt Light" w:hint="default"/>
          <w:sz w:val="24"/>
          <w:szCs w:val="24"/>
          <w:rtl w:val="0"/>
          <w:lang w:val="en-US"/>
        </w:rPr>
        <w:t>“</w:t>
      </w:r>
      <w:r>
        <w:rPr>
          <w:rFonts w:ascii="Theinhardt Light"/>
          <w:sz w:val="24"/>
          <w:szCs w:val="24"/>
          <w:rtl w:val="0"/>
          <w:lang w:val="en-US"/>
        </w:rPr>
        <w:t>new life, a new creativity, and a new Cosmohumanist Culture.</w:t>
      </w:r>
      <w:r>
        <w:rPr>
          <w:rFonts w:hAnsi="Theinhardt Light" w:hint="default"/>
          <w:sz w:val="24"/>
          <w:szCs w:val="24"/>
          <w:rtl w:val="0"/>
          <w:lang w:val="en-US"/>
        </w:rPr>
        <w:t xml:space="preserve">” </w:t>
      </w:r>
      <w:r>
        <w:rPr>
          <w:rFonts w:ascii="Theinhardt Light"/>
          <w:sz w:val="24"/>
          <w:szCs w:val="24"/>
          <w:rtl w:val="0"/>
          <w:lang w:val="en-US"/>
        </w:rPr>
        <w:t>The exhibition architecture, created by the artist Josef Dabernig, refers to this genuine artist</w:t>
      </w:r>
      <w:r>
        <w:rPr>
          <w:rFonts w:hAnsi="Theinhardt Light" w:hint="default"/>
          <w:sz w:val="24"/>
          <w:szCs w:val="24"/>
          <w:rtl w:val="0"/>
          <w:lang w:val="en-US"/>
        </w:rPr>
        <w:t>’</w:t>
      </w:r>
      <w:r>
        <w:rPr>
          <w:rFonts w:ascii="Theinhardt Light"/>
          <w:sz w:val="24"/>
          <w:szCs w:val="24"/>
          <w:rtl w:val="0"/>
          <w:lang w:val="en-US"/>
        </w:rPr>
        <w:t>s grammar whilst also addressing the modernist architecture of the exhibition space and its former purpose as a furniture store.</w:t>
      </w:r>
    </w:p>
    <w:p>
      <w:pPr>
        <w:pStyle w:val="Normalny"/>
        <w:tabs>
          <w:tab w:val="left" w:pos="2694"/>
        </w:tabs>
        <w:spacing w:line="360" w:lineRule="auto"/>
        <w:rPr>
          <w:rFonts w:ascii="Theinhardt Light" w:cs="Theinhardt Light" w:hAnsi="Theinhardt Light" w:eastAsia="Theinhardt Light"/>
        </w:rPr>
      </w:pPr>
    </w:p>
    <w:p>
      <w:pPr>
        <w:pStyle w:val="Normalny"/>
        <w:spacing w:line="360" w:lineRule="auto"/>
        <w:rPr>
          <w:rFonts w:ascii="Theinhardt Light" w:cs="Theinhardt Light" w:hAnsi="Theinhardt Light" w:eastAsia="Theinhardt Light"/>
        </w:rPr>
      </w:pPr>
      <w:r>
        <w:rPr>
          <w:rFonts w:ascii="Theinhardt Light"/>
          <w:sz w:val="24"/>
          <w:szCs w:val="24"/>
          <w:rtl w:val="0"/>
          <w:lang w:val="en-US"/>
        </w:rPr>
        <w:t xml:space="preserve">The question mark </w:t>
      </w:r>
      <w:r>
        <w:rPr>
          <w:rFonts w:hAnsi="Theinhardt Light" w:hint="default"/>
          <w:sz w:val="24"/>
          <w:szCs w:val="24"/>
          <w:rtl w:val="0"/>
          <w:lang w:val="en-US"/>
        </w:rPr>
        <w:t>“</w:t>
      </w:r>
      <w:r>
        <w:rPr>
          <w:rFonts w:ascii="Theinhardt Light"/>
          <w:sz w:val="24"/>
          <w:szCs w:val="24"/>
          <w:rtl w:val="0"/>
          <w:lang w:val="en-US"/>
        </w:rPr>
        <w:t>?</w:t>
      </w:r>
      <w:r>
        <w:rPr>
          <w:rFonts w:hAnsi="Theinhardt Light" w:hint="default"/>
          <w:sz w:val="24"/>
          <w:szCs w:val="24"/>
          <w:rtl w:val="0"/>
          <w:lang w:val="en-US"/>
        </w:rPr>
        <w:t xml:space="preserve">” </w:t>
      </w:r>
      <w:r>
        <w:rPr>
          <w:rFonts w:ascii="Theinhardt Light"/>
          <w:sz w:val="24"/>
          <w:szCs w:val="24"/>
          <w:rtl w:val="0"/>
          <w:lang w:val="en-US"/>
        </w:rPr>
        <w:t>was J</w:t>
      </w:r>
      <w:r>
        <w:rPr>
          <w:rFonts w:hAnsi="Theinhardt Light" w:hint="default"/>
          <w:sz w:val="24"/>
          <w:szCs w:val="24"/>
          <w:rtl w:val="0"/>
          <w:lang w:val="en-US"/>
        </w:rPr>
        <w:t>ú</w:t>
      </w:r>
      <w:r>
        <w:rPr>
          <w:rFonts w:ascii="Theinhardt Light"/>
          <w:sz w:val="24"/>
          <w:szCs w:val="24"/>
          <w:rtl w:val="0"/>
          <w:lang w:val="en-US"/>
        </w:rPr>
        <w:t>lius Koller</w:t>
      </w:r>
      <w:r>
        <w:rPr>
          <w:rFonts w:hAnsi="Theinhardt Light" w:hint="default"/>
          <w:sz w:val="24"/>
          <w:szCs w:val="24"/>
          <w:rtl w:val="0"/>
          <w:lang w:val="en-US"/>
        </w:rPr>
        <w:t>’</w:t>
      </w:r>
      <w:r>
        <w:rPr>
          <w:rFonts w:ascii="Theinhardt Light"/>
          <w:sz w:val="24"/>
          <w:szCs w:val="24"/>
          <w:rtl w:val="0"/>
          <w:lang w:val="en-US"/>
        </w:rPr>
        <w:t xml:space="preserve">s signature, subject matter, and medium from 1969 onward. It was for him a universal symbol of doubt </w:t>
      </w:r>
      <w:r>
        <w:rPr>
          <w:rFonts w:hAnsi="Theinhardt Light" w:hint="default"/>
          <w:sz w:val="24"/>
          <w:szCs w:val="24"/>
          <w:rtl w:val="0"/>
          <w:lang w:val="en-US"/>
        </w:rPr>
        <w:t xml:space="preserve">— </w:t>
      </w:r>
      <w:r>
        <w:rPr>
          <w:rFonts w:ascii="Theinhardt Light"/>
          <w:sz w:val="24"/>
          <w:szCs w:val="24"/>
          <w:rtl w:val="0"/>
          <w:lang w:val="en-US"/>
        </w:rPr>
        <w:t>it did not simply function as a sign that questioned the social and political situation in Czechoslovakia. This sign is even more pertinent today, as it stands for the multiple political, social, and economic uncertainties of the world we live in, and as a skeptical remark to the market driven proliferation of the globalizing art system. Koller has featured the question mark repeatedly in his work as an expression of uncertainty and as a question to the suppressive power of the hegemonic state apparatus and the technoid phantasies of late modernism, and also as a communication sign addressed to mankind. The appellative call of Koller</w:t>
      </w:r>
      <w:r>
        <w:rPr>
          <w:rFonts w:hAnsi="Theinhardt Light" w:hint="default"/>
          <w:sz w:val="24"/>
          <w:szCs w:val="24"/>
          <w:rtl w:val="0"/>
          <w:lang w:val="en-US"/>
        </w:rPr>
        <w:t>’</w:t>
      </w:r>
      <w:r>
        <w:rPr>
          <w:rFonts w:ascii="Theinhardt Light"/>
          <w:sz w:val="24"/>
          <w:szCs w:val="24"/>
          <w:rtl w:val="0"/>
          <w:lang w:val="en-US"/>
        </w:rPr>
        <w:t xml:space="preserve">s question mark remains relevant today. In </w:t>
      </w:r>
      <w:r>
        <w:rPr>
          <w:rFonts w:hAnsi="Theinhardt Light" w:hint="default"/>
          <w:sz w:val="24"/>
          <w:szCs w:val="24"/>
          <w:rtl w:val="0"/>
          <w:lang w:val="en-US"/>
        </w:rPr>
        <w:t>“</w:t>
      </w:r>
      <w:r>
        <w:rPr>
          <w:rFonts w:ascii="Theinhardt Light"/>
          <w:sz w:val="24"/>
          <w:szCs w:val="24"/>
          <w:rtl w:val="0"/>
          <w:lang w:val="en-US"/>
        </w:rPr>
        <w:t xml:space="preserve">times of research, search, doubts, questions and question marks, </w:t>
      </w:r>
      <w:r>
        <w:rPr>
          <w:rFonts w:hAnsi="Theinhardt Light" w:hint="default"/>
          <w:sz w:val="24"/>
          <w:szCs w:val="24"/>
          <w:rtl w:val="0"/>
          <w:lang w:val="en-US"/>
        </w:rPr>
        <w:t>…</w:t>
      </w:r>
      <w:r>
        <w:rPr>
          <w:rFonts w:ascii="Theinhardt Light"/>
          <w:sz w:val="24"/>
          <w:szCs w:val="24"/>
          <w:rtl w:val="0"/>
          <w:lang w:val="en-US"/>
        </w:rPr>
        <w:t>. nothing is simple or unequivocal any more,</w:t>
      </w:r>
      <w:r>
        <w:rPr>
          <w:rFonts w:hAnsi="Theinhardt Light" w:hint="default"/>
          <w:sz w:val="24"/>
          <w:szCs w:val="24"/>
          <w:rtl w:val="0"/>
          <w:lang w:val="en-US"/>
        </w:rPr>
        <w:t xml:space="preserve">” </w:t>
      </w:r>
      <w:r>
        <w:rPr>
          <w:rFonts w:ascii="Theinhardt Light"/>
          <w:sz w:val="24"/>
          <w:szCs w:val="24"/>
          <w:rtl w:val="0"/>
          <w:lang w:val="en-US"/>
        </w:rPr>
        <w:t xml:space="preserve">Koller stated in 1978, </w:t>
      </w:r>
      <w:r>
        <w:rPr>
          <w:rFonts w:hAnsi="Theinhardt Light" w:hint="default"/>
          <w:sz w:val="24"/>
          <w:szCs w:val="24"/>
          <w:rtl w:val="0"/>
          <w:lang w:val="en-US"/>
        </w:rPr>
        <w:t>“</w:t>
      </w:r>
      <w:r>
        <w:rPr>
          <w:rFonts w:ascii="Theinhardt Light"/>
          <w:sz w:val="24"/>
          <w:szCs w:val="24"/>
          <w:rtl w:val="0"/>
          <w:lang w:val="en-US"/>
        </w:rPr>
        <w:t>the so-called world has become unbelievably complicated and even more incomprehensible.</w:t>
      </w:r>
      <w:r>
        <w:rPr>
          <w:rFonts w:hAnsi="Theinhardt Light" w:hint="default"/>
          <w:sz w:val="24"/>
          <w:szCs w:val="24"/>
          <w:rtl w:val="0"/>
          <w:lang w:val="en-US"/>
        </w:rPr>
        <w:t xml:space="preserve">” </w:t>
      </w:r>
    </w:p>
    <w:p>
      <w:pPr>
        <w:pStyle w:val="Normalny"/>
        <w:spacing w:line="360" w:lineRule="auto"/>
        <w:rPr>
          <w:rFonts w:ascii="Theinhardt Light" w:cs="Theinhardt Light" w:hAnsi="Theinhardt Light" w:eastAsia="Theinhardt Light"/>
        </w:rPr>
      </w:pPr>
    </w:p>
    <w:p>
      <w:pPr>
        <w:pStyle w:val="Normalny"/>
        <w:spacing w:line="360" w:lineRule="auto"/>
        <w:rPr>
          <w:rFonts w:ascii="Theinhardt Light" w:cs="Theinhardt Light" w:hAnsi="Theinhardt Light" w:eastAsia="Theinhardt Light"/>
        </w:rPr>
      </w:pPr>
      <w:r>
        <w:rPr>
          <w:rFonts w:ascii="Theinhardt Light"/>
          <w:sz w:val="24"/>
          <w:szCs w:val="24"/>
          <w:rtl w:val="0"/>
          <w:lang w:val="en-US"/>
        </w:rPr>
        <w:t xml:space="preserve">In the mid-1960s, Koller published his first manifesto: </w:t>
      </w:r>
      <w:r>
        <w:rPr>
          <w:rFonts w:hAnsi="Theinhardt Light" w:hint="default"/>
          <w:sz w:val="24"/>
          <w:szCs w:val="24"/>
          <w:rtl w:val="0"/>
          <w:lang w:val="en-US"/>
        </w:rPr>
        <w:t>“</w:t>
      </w:r>
      <w:r>
        <w:rPr>
          <w:rFonts w:ascii="Theinhardt Light"/>
          <w:sz w:val="24"/>
          <w:szCs w:val="24"/>
          <w:rtl w:val="0"/>
          <w:lang w:val="en-US"/>
        </w:rPr>
        <w:t>Antihappening (System of Subjective Objectivity).</w:t>
      </w:r>
      <w:r>
        <w:rPr>
          <w:rFonts w:hAnsi="Theinhardt Light" w:hint="default"/>
          <w:sz w:val="24"/>
          <w:szCs w:val="24"/>
          <w:rtl w:val="0"/>
          <w:lang w:val="en-US"/>
        </w:rPr>
        <w:t xml:space="preserve">” </w:t>
      </w:r>
      <w:r>
        <w:rPr>
          <w:rFonts w:ascii="Theinhardt Light"/>
          <w:sz w:val="24"/>
          <w:szCs w:val="24"/>
          <w:rtl w:val="0"/>
          <w:lang w:val="en-US"/>
        </w:rPr>
        <w:t>Koller declared activities from various segments of his life as Antihappening: his work as a</w:t>
      </w:r>
      <w:r>
        <w:rPr>
          <w:rFonts w:hAnsi="Theinhardt Light" w:hint="default"/>
          <w:sz w:val="24"/>
          <w:szCs w:val="24"/>
          <w:rtl w:val="0"/>
          <w:lang w:val="en-US"/>
        </w:rPr>
        <w:t> </w:t>
      </w:r>
      <w:r>
        <w:rPr>
          <w:rFonts w:ascii="Theinhardt Light"/>
          <w:sz w:val="24"/>
          <w:szCs w:val="24"/>
          <w:rtl w:val="0"/>
          <w:lang w:val="en-US"/>
        </w:rPr>
        <w:t>painter; military service; playing sport; life with his partner; pedagogical work. Antihappening stressed the artist</w:t>
      </w:r>
      <w:r>
        <w:rPr>
          <w:rFonts w:hAnsi="Theinhardt Light" w:hint="default"/>
          <w:sz w:val="24"/>
          <w:szCs w:val="24"/>
          <w:rtl w:val="0"/>
          <w:lang w:val="en-US"/>
        </w:rPr>
        <w:t>’</w:t>
      </w:r>
      <w:r>
        <w:rPr>
          <w:rFonts w:ascii="Theinhardt Light"/>
          <w:sz w:val="24"/>
          <w:szCs w:val="24"/>
          <w:rtl w:val="0"/>
          <w:lang w:val="en-US"/>
        </w:rPr>
        <w:t xml:space="preserve">s personal engagement in the process of becoming aware of a social reality, and of introducing alternative ways of having an effect on others by unspectacular means. From 1967 onward, he painted object-pictures in white latex paint that for the first time included the motif of the question mark that was later to become the universal symbol of his interrogation of everyday life. As a reaction to empty exhibitionism in times of political instability, he distributed telegrams worded </w:t>
      </w:r>
      <w:r>
        <w:rPr>
          <w:rFonts w:hAnsi="Theinhardt Light" w:hint="default"/>
          <w:sz w:val="24"/>
          <w:szCs w:val="24"/>
          <w:rtl w:val="0"/>
          <w:lang w:val="en-US"/>
        </w:rPr>
        <w:t>“</w:t>
      </w:r>
      <w:r>
        <w:rPr>
          <w:rFonts w:ascii="Theinhardt Light"/>
          <w:sz w:val="24"/>
          <w:szCs w:val="24"/>
          <w:rtl w:val="0"/>
          <w:lang w:val="en-US"/>
        </w:rPr>
        <w:t>UmeNie</w:t>
      </w:r>
      <w:r>
        <w:rPr>
          <w:rFonts w:hAnsi="Theinhardt Light" w:hint="default"/>
          <w:sz w:val="24"/>
          <w:szCs w:val="24"/>
          <w:rtl w:val="0"/>
          <w:lang w:val="en-US"/>
        </w:rPr>
        <w:t xml:space="preserve">” </w:t>
      </w:r>
      <w:r>
        <w:rPr>
          <w:rFonts w:ascii="Theinhardt Light"/>
          <w:sz w:val="24"/>
          <w:szCs w:val="24"/>
          <w:rtl w:val="0"/>
          <w:lang w:val="en-US"/>
        </w:rPr>
        <w:t>[No Art].</w:t>
      </w:r>
    </w:p>
    <w:p>
      <w:pPr>
        <w:pStyle w:val="Normalny"/>
        <w:spacing w:line="360" w:lineRule="auto"/>
        <w:rPr>
          <w:rFonts w:ascii="Theinhardt Light" w:cs="Theinhardt Light" w:hAnsi="Theinhardt Light" w:eastAsia="Theinhardt Light"/>
        </w:rPr>
      </w:pPr>
    </w:p>
    <w:p>
      <w:pPr>
        <w:pStyle w:val="Normalny"/>
        <w:spacing w:line="360" w:lineRule="auto"/>
        <w:rPr>
          <w:rFonts w:ascii="Theinhardt Light" w:cs="Theinhardt Light" w:hAnsi="Theinhardt Light" w:eastAsia="Theinhardt Light"/>
        </w:rPr>
      </w:pPr>
      <w:r>
        <w:rPr>
          <w:rFonts w:ascii="Theinhardt Light"/>
          <w:sz w:val="24"/>
          <w:szCs w:val="24"/>
          <w:rtl w:val="0"/>
          <w:lang w:val="en-US"/>
        </w:rPr>
        <w:t xml:space="preserve">In 1970, two years after the Prague Spring had been put down by the tanks of the Warsaw Treaty, Koller introduced the acronym U.F.O. into his work: </w:t>
      </w:r>
      <w:r>
        <w:rPr>
          <w:rFonts w:hAnsi="Theinhardt Light" w:hint="default"/>
          <w:sz w:val="24"/>
          <w:szCs w:val="24"/>
          <w:rtl w:val="0"/>
          <w:lang w:val="en-US"/>
        </w:rPr>
        <w:t>“</w:t>
      </w:r>
      <w:r>
        <w:rPr>
          <w:rFonts w:ascii="Theinhardt Light"/>
          <w:sz w:val="24"/>
          <w:szCs w:val="24"/>
          <w:rtl w:val="0"/>
          <w:lang w:val="en-US"/>
        </w:rPr>
        <w:t>Universal-Cultural Futurological Operations.</w:t>
      </w:r>
      <w:r>
        <w:rPr>
          <w:rFonts w:hAnsi="Theinhardt Light" w:hint="default"/>
          <w:sz w:val="24"/>
          <w:szCs w:val="24"/>
          <w:rtl w:val="0"/>
          <w:lang w:val="en-US"/>
        </w:rPr>
        <w:t xml:space="preserve">” </w:t>
      </w:r>
      <w:r>
        <w:rPr>
          <w:rFonts w:ascii="Theinhardt Light"/>
          <w:sz w:val="24"/>
          <w:szCs w:val="24"/>
          <w:rtl w:val="0"/>
          <w:lang w:val="en-US"/>
        </w:rPr>
        <w:t xml:space="preserve">Over the next three decades he created his major group of works under the same name, while he himself became the subject of a series of annual portraits known as </w:t>
      </w:r>
      <w:r>
        <w:rPr>
          <w:rFonts w:hAnsi="Theinhardt Light" w:hint="default"/>
          <w:sz w:val="24"/>
          <w:szCs w:val="24"/>
          <w:rtl w:val="0"/>
          <w:lang w:val="en-US"/>
        </w:rPr>
        <w:t>“</w:t>
      </w:r>
      <w:r>
        <w:rPr>
          <w:rFonts w:ascii="Theinhardt Light"/>
          <w:sz w:val="24"/>
          <w:szCs w:val="24"/>
          <w:rtl w:val="0"/>
          <w:lang w:val="en-US"/>
        </w:rPr>
        <w:t>U.F.O.-naut J.K</w:t>
      </w:r>
      <w:r>
        <w:rPr>
          <w:rFonts w:hAnsi="Theinhardt Light" w:hint="default"/>
          <w:sz w:val="24"/>
          <w:szCs w:val="24"/>
          <w:rtl w:val="0"/>
          <w:lang w:val="en-US"/>
        </w:rPr>
        <w:t>”</w:t>
      </w:r>
      <w:r>
        <w:rPr>
          <w:rFonts w:ascii="Theinhardt Light"/>
          <w:sz w:val="24"/>
          <w:szCs w:val="24"/>
          <w:rtl w:val="0"/>
          <w:lang w:val="en-US"/>
        </w:rPr>
        <w:t xml:space="preserve">. </w:t>
      </w:r>
    </w:p>
    <w:p>
      <w:pPr>
        <w:pStyle w:val="Normalny"/>
        <w:spacing w:line="360" w:lineRule="auto"/>
        <w:rPr>
          <w:rFonts w:ascii="Theinhardt Light" w:cs="Theinhardt Light" w:hAnsi="Theinhardt Light" w:eastAsia="Theinhardt Light"/>
        </w:rPr>
      </w:pPr>
    </w:p>
    <w:p>
      <w:pPr>
        <w:pStyle w:val="Normalny"/>
        <w:spacing w:line="360" w:lineRule="auto"/>
        <w:rPr>
          <w:rFonts w:ascii="Theinhardt Light" w:cs="Theinhardt Light" w:hAnsi="Theinhardt Light" w:eastAsia="Theinhardt Light"/>
        </w:rPr>
      </w:pPr>
      <w:r>
        <w:rPr>
          <w:rFonts w:ascii="Theinhardt Light"/>
          <w:sz w:val="24"/>
          <w:szCs w:val="24"/>
          <w:rtl w:val="0"/>
          <w:lang w:val="en-US"/>
        </w:rPr>
        <w:t>Tennis and table tennis are not only recurring motifs in Koller</w:t>
      </w:r>
      <w:r>
        <w:rPr>
          <w:rFonts w:hAnsi="Theinhardt Light" w:hint="default"/>
          <w:sz w:val="24"/>
          <w:szCs w:val="24"/>
          <w:rtl w:val="0"/>
          <w:lang w:val="en-US"/>
        </w:rPr>
        <w:t>´</w:t>
      </w:r>
      <w:r>
        <w:rPr>
          <w:rFonts w:ascii="Theinhardt Light"/>
          <w:sz w:val="24"/>
          <w:szCs w:val="24"/>
          <w:rtl w:val="0"/>
          <w:lang w:val="en-US"/>
        </w:rPr>
        <w:t>s work, but also a political statement. He drew tennis courts on postcards, retraced the lines of a tennis court with chalk, and invited the public to table tennis tournaments instead of exhibitions. For Koller, the concentrated game principles and procedures of sport refer to a democratic fair-play situation with clearly defined rules; a perfect expression of his utopian ideas in a world otherwise shaped by arbitrary political rule-making and rule-breaking.</w:t>
      </w:r>
    </w:p>
    <w:p>
      <w:pPr>
        <w:pStyle w:val="Normalny"/>
        <w:spacing w:line="360" w:lineRule="auto"/>
        <w:rPr>
          <w:rFonts w:ascii="Theinhardt Light" w:cs="Theinhardt Light" w:hAnsi="Theinhardt Light" w:eastAsia="Theinhardt Light"/>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From February 12 to May 16, 2016, the comprehensive retrospective of J</w:t>
      </w:r>
      <w:r>
        <w:rPr>
          <w:rFonts w:hAnsi="MuseumSztukiNovo5-SemiBold" w:hint="default"/>
          <w:b w:val="1"/>
          <w:bCs w:val="1"/>
          <w:sz w:val="24"/>
          <w:szCs w:val="24"/>
          <w:rtl w:val="0"/>
          <w:lang w:val="en-US"/>
        </w:rPr>
        <w:t>ú</w:t>
      </w:r>
      <w:r>
        <w:rPr>
          <w:rFonts w:ascii="MuseumSztukiNovo5-SemiBold"/>
          <w:b w:val="1"/>
          <w:bCs w:val="1"/>
          <w:sz w:val="24"/>
          <w:szCs w:val="24"/>
          <w:rtl w:val="0"/>
          <w:lang w:val="en-US"/>
        </w:rPr>
        <w:t xml:space="preserve">lius Koller will </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be exhibited at mumok, Vienna</w:t>
      </w:r>
    </w:p>
    <w:p>
      <w:pPr>
        <w:pStyle w:val="Normalny"/>
        <w:spacing w:line="360" w:lineRule="auto"/>
        <w:rPr>
          <w:rFonts w:ascii="MuseumSztukiNovo5-SemiBold" w:cs="MuseumSztukiNovo5-SemiBold" w:hAnsi="MuseumSztukiNovo5-SemiBold" w:eastAsia="MuseumSztukiNovo5-SemiBold"/>
          <w:b w:val="1"/>
          <w:bCs w:val="1"/>
        </w:rPr>
      </w:pPr>
    </w:p>
    <w:p>
      <w:pPr>
        <w:pStyle w:val="Normalny"/>
        <w:spacing w:line="360" w:lineRule="auto"/>
        <w:rPr>
          <w:rFonts w:ascii="MuseumSztukiNovo5-SemiBold" w:cs="MuseumSztukiNovo5-SemiBold" w:hAnsi="MuseumSztukiNovo5-SemiBold" w:eastAsia="MuseumSztukiNovo5-SemiBold"/>
          <w:b w:val="1"/>
          <w:bCs w:val="1"/>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The exhibition was made possible thanks to the generous support of Kv</w:t>
      </w:r>
      <w:r>
        <w:rPr>
          <w:rFonts w:hAnsi="MuseumSztukiNovo5-SemiBold" w:hint="default"/>
          <w:b w:val="1"/>
          <w:bCs w:val="1"/>
          <w:sz w:val="24"/>
          <w:szCs w:val="24"/>
          <w:rtl w:val="0"/>
          <w:lang w:val="en-US"/>
        </w:rPr>
        <w:t>ě</w:t>
      </w:r>
      <w:r>
        <w:rPr>
          <w:rFonts w:ascii="MuseumSztukiNovo5-SemiBold"/>
          <w:b w:val="1"/>
          <w:bCs w:val="1"/>
          <w:sz w:val="24"/>
          <w:szCs w:val="24"/>
          <w:rtl w:val="0"/>
          <w:lang w:val="en-US"/>
        </w:rPr>
        <w:t xml:space="preserve">toslava </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Fulierov</w:t>
      </w:r>
      <w:r>
        <w:rPr>
          <w:rFonts w:hAnsi="MuseumSztukiNovo5-SemiBold" w:hint="default"/>
          <w:b w:val="1"/>
          <w:bCs w:val="1"/>
          <w:sz w:val="24"/>
          <w:szCs w:val="24"/>
          <w:rtl w:val="0"/>
          <w:lang w:val="en-US"/>
        </w:rPr>
        <w:t>á</w:t>
      </w:r>
      <w:r>
        <w:rPr>
          <w:rFonts w:ascii="MuseumSztukiNovo5-SemiBold"/>
          <w:b w:val="1"/>
          <w:bCs w:val="1"/>
          <w:sz w:val="24"/>
          <w:szCs w:val="24"/>
          <w:rtl w:val="0"/>
          <w:lang w:val="en-US"/>
        </w:rPr>
        <w:t xml:space="preserve">. It has been produced in collaboration with the Slovak National Gallery, </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Bratislava; Collection Linea, Bratislava; Bratislava City Gallery; SOGA Collection,</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Bratislava; First Slovak Investment Group, Bratislava; J</w:t>
      </w:r>
      <w:r>
        <w:rPr>
          <w:rFonts w:hAnsi="MuseumSztukiNovo5-SemiBold" w:hint="default"/>
          <w:b w:val="1"/>
          <w:bCs w:val="1"/>
          <w:sz w:val="24"/>
          <w:szCs w:val="24"/>
          <w:rtl w:val="0"/>
          <w:lang w:val="en-US"/>
        </w:rPr>
        <w:t>ú</w:t>
      </w:r>
      <w:r>
        <w:rPr>
          <w:rFonts w:ascii="MuseumSztukiNovo5-SemiBold"/>
          <w:b w:val="1"/>
          <w:bCs w:val="1"/>
          <w:sz w:val="24"/>
          <w:szCs w:val="24"/>
          <w:rtl w:val="0"/>
          <w:lang w:val="en-US"/>
        </w:rPr>
        <w:t xml:space="preserve">lius Koller Society, Bratislava; </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 xml:space="preserve">Kontakt. The Art Collection of Erste Group and ERSTE Foundation, Vienna; Generali </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r>
        <w:rPr>
          <w:rFonts w:ascii="MuseumSztukiNovo5-SemiBold"/>
          <w:b w:val="1"/>
          <w:bCs w:val="1"/>
          <w:sz w:val="24"/>
          <w:szCs w:val="24"/>
          <w:rtl w:val="0"/>
          <w:lang w:val="en-US"/>
        </w:rPr>
        <w:t>Foundation, ViennaMartin Janda Gallery, Vienna; gb agency, Paris; and through the as</w:t>
      </w:r>
    </w:p>
    <w:p>
      <w:pPr>
        <w:pStyle w:val="Normalny"/>
        <w:spacing w:line="360" w:lineRule="auto"/>
        <w:rPr>
          <w:rFonts w:ascii="MuseumSztukiNovo5-SemiBold" w:cs="MuseumSztukiNovo5-SemiBold" w:hAnsi="MuseumSztukiNovo5-SemiBold" w:eastAsia="MuseumSztukiNovo5-SemiBold"/>
          <w:b w:val="1"/>
          <w:bCs w:val="1"/>
          <w:sz w:val="24"/>
          <w:szCs w:val="24"/>
          <w:rtl w:val="0"/>
          <w:lang w:val="en-US"/>
        </w:rPr>
      </w:pPr>
    </w:p>
    <w:p>
      <w:pPr>
        <w:pStyle w:val="Normalny"/>
        <w:spacing w:line="360" w:lineRule="auto"/>
        <w:rPr>
          <w:rFonts w:ascii="MuseumSztukiNovo5-SemiBold" w:cs="MuseumSztukiNovo5-SemiBold" w:hAnsi="MuseumSztukiNovo5-SemiBold" w:eastAsia="MuseumSztukiNovo5-SemiBold"/>
          <w:b w:val="1"/>
          <w:bCs w:val="1"/>
          <w:vertAlign w:val="subscript"/>
        </w:rPr>
      </w:pPr>
      <w:r>
        <w:rPr>
          <w:rFonts w:ascii="MuseumSztukiNovo5-SemiBold"/>
          <w:b w:val="1"/>
          <w:bCs w:val="1"/>
          <w:sz w:val="24"/>
          <w:szCs w:val="24"/>
          <w:rtl w:val="0"/>
          <w:lang w:val="en-US"/>
        </w:rPr>
        <w:t>sistance of private lenders.</w:t>
      </w:r>
    </w:p>
    <w:p>
      <w:pPr>
        <w:pStyle w:val="Normalny"/>
        <w:rPr>
          <w:vertAlign w:val="subscript"/>
        </w:rPr>
      </w:pPr>
    </w:p>
    <w:p>
      <w:pPr>
        <w:pStyle w:val="Normalny"/>
        <w:spacing w:line="280" w:lineRule="exact"/>
        <w:rPr>
          <w:sz w:val="28"/>
          <w:szCs w:val="28"/>
          <w:vertAlign w:val="subscript"/>
        </w:rPr>
      </w:pPr>
    </w:p>
    <w:p>
      <w:pPr>
        <w:pStyle w:val="Normalny"/>
        <w:spacing w:line="280" w:lineRule="exact"/>
        <w:rPr>
          <w:rFonts w:ascii="MuseumSztukiNovo5-SemiBold" w:cs="MuseumSztukiNovo5-SemiBold" w:hAnsi="MuseumSztukiNovo5-SemiBold" w:eastAsia="MuseumSztukiNovo5-SemiBold"/>
          <w:b w:val="1"/>
          <w:bCs w:val="1"/>
        </w:rPr>
      </w:pPr>
      <w:r>
        <w:rPr>
          <w:rFonts w:ascii="MuseumSztukiNovo5-SemiBold"/>
          <w:b w:val="1"/>
          <w:bCs w:val="1"/>
          <w:sz w:val="24"/>
          <w:szCs w:val="24"/>
          <w:rtl w:val="0"/>
          <w:lang w:val="en-US"/>
        </w:rPr>
        <w:t>Co-organizers:                                                                         Partner:</w:t>
      </w:r>
    </w:p>
    <w:p>
      <w:pPr>
        <w:pStyle w:val="Normalny"/>
        <w:spacing w:line="280" w:lineRule="exact"/>
        <w:rPr>
          <w:rFonts w:ascii="MuseumSztukiNovo5-SemiBold" w:cs="MuseumSztukiNovo5-SemiBold" w:hAnsi="MuseumSztukiNovo5-SemiBold" w:eastAsia="MuseumSztukiNovo5-SemiBold"/>
          <w:b w:val="1"/>
          <w:bCs w:val="1"/>
        </w:rPr>
      </w:pPr>
      <w:r>
        <w:rPr>
          <w:rFonts w:ascii="MuseumSztukiNovo5-SemiBold" w:cs="MuseumSztukiNovo5-SemiBold" w:hAnsi="MuseumSztukiNovo5-SemiBold" w:eastAsia="MuseumSztukiNovo5-SemiBold"/>
          <w:b w:val="1"/>
          <w:bCs w:val="1"/>
          <w:sz w:val="24"/>
          <w:szCs w:val="24"/>
          <w:rtl w:val="0"/>
        </w:rPr>
        <w:drawing>
          <wp:anchor distT="152400" distB="152400" distL="152400" distR="152400" simplePos="0" relativeHeight="251660288" behindDoc="0" locked="0" layoutInCell="1" allowOverlap="1">
            <wp:simplePos x="0" y="0"/>
            <wp:positionH relativeFrom="page">
              <wp:posOffset>894080</wp:posOffset>
            </wp:positionH>
            <wp:positionV relativeFrom="line">
              <wp:posOffset>204469</wp:posOffset>
            </wp:positionV>
            <wp:extent cx="1415995" cy="311781"/>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5">
                      <a:extLst/>
                    </a:blip>
                    <a:stretch>
                      <a:fillRect/>
                    </a:stretch>
                  </pic:blipFill>
                  <pic:spPr>
                    <a:xfrm>
                      <a:off x="0" y="0"/>
                      <a:ext cx="1415995" cy="311781"/>
                    </a:xfrm>
                    <a:prstGeom prst="rect">
                      <a:avLst/>
                    </a:prstGeom>
                    <a:ln w="12700" cap="flat">
                      <a:noFill/>
                      <a:miter lim="400000"/>
                    </a:ln>
                    <a:effectLst/>
                  </pic:spPr>
                </pic:pic>
              </a:graphicData>
            </a:graphic>
          </wp:anchor>
        </w:drawing>
      </w:r>
      <w:r>
        <w:rPr>
          <w:rFonts w:ascii="MuseumSztukiNovo5-SemiBold" w:cs="MuseumSztukiNovo5-SemiBold" w:hAnsi="MuseumSztukiNovo5-SemiBold" w:eastAsia="MuseumSztukiNovo5-SemiBold"/>
          <w:b w:val="1"/>
          <w:bCs w:val="1"/>
          <w:sz w:val="24"/>
          <w:szCs w:val="24"/>
          <w:rtl w:val="0"/>
        </w:rPr>
        <w:drawing>
          <wp:anchor distT="152400" distB="152400" distL="152400" distR="152400" simplePos="0" relativeHeight="251662336" behindDoc="0" locked="0" layoutInCell="1" allowOverlap="1">
            <wp:simplePos x="0" y="0"/>
            <wp:positionH relativeFrom="page">
              <wp:posOffset>3956367</wp:posOffset>
            </wp:positionH>
            <wp:positionV relativeFrom="line">
              <wp:posOffset>309679</wp:posOffset>
            </wp:positionV>
            <wp:extent cx="1202427" cy="12319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pic:nvPicPr>
                  <pic:blipFill>
                    <a:blip r:embed="rId6">
                      <a:extLst/>
                    </a:blip>
                    <a:stretch>
                      <a:fillRect/>
                    </a:stretch>
                  </pic:blipFill>
                  <pic:spPr>
                    <a:xfrm>
                      <a:off x="0" y="0"/>
                      <a:ext cx="1202427" cy="1231900"/>
                    </a:xfrm>
                    <a:prstGeom prst="rect">
                      <a:avLst/>
                    </a:prstGeom>
                    <a:ln w="12700" cap="flat">
                      <a:noFill/>
                      <a:miter lim="400000"/>
                    </a:ln>
                    <a:effectLst/>
                  </pic:spPr>
                </pic:pic>
              </a:graphicData>
            </a:graphic>
          </wp:anchor>
        </w:drawing>
      </w: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r>
        <w:rPr>
          <w:rFonts w:ascii="MuseumSztukiNovo5-SemiBold" w:cs="MuseumSztukiNovo5-SemiBold" w:hAnsi="MuseumSztukiNovo5-SemiBold" w:eastAsia="MuseumSztukiNovo5-SemiBold"/>
          <w:b w:val="1"/>
          <w:bCs w:val="1"/>
          <w:sz w:val="24"/>
          <w:szCs w:val="24"/>
          <w:rtl w:val="0"/>
          <w:lang w:val="en-US"/>
        </w:rPr>
        <w:drawing>
          <wp:anchor distT="152400" distB="152400" distL="152400" distR="152400" simplePos="0" relativeHeight="251661312" behindDoc="0" locked="0" layoutInCell="1" allowOverlap="1">
            <wp:simplePos x="0" y="0"/>
            <wp:positionH relativeFrom="page">
              <wp:posOffset>894080</wp:posOffset>
            </wp:positionH>
            <wp:positionV relativeFrom="line">
              <wp:posOffset>212088</wp:posOffset>
            </wp:positionV>
            <wp:extent cx="1878154" cy="296749"/>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eg"/>
                    <pic:cNvPicPr/>
                  </pic:nvPicPr>
                  <pic:blipFill>
                    <a:blip r:embed="rId7">
                      <a:extLst/>
                    </a:blip>
                    <a:stretch>
                      <a:fillRect/>
                    </a:stretch>
                  </pic:blipFill>
                  <pic:spPr>
                    <a:xfrm>
                      <a:off x="0" y="0"/>
                      <a:ext cx="1878154" cy="296749"/>
                    </a:xfrm>
                    <a:prstGeom prst="rect">
                      <a:avLst/>
                    </a:prstGeom>
                    <a:ln w="12700" cap="flat">
                      <a:noFill/>
                      <a:miter lim="400000"/>
                    </a:ln>
                    <a:effectLst/>
                  </pic:spPr>
                </pic:pic>
              </a:graphicData>
            </a:graphic>
          </wp:anchor>
        </w:drawing>
      </w: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p>
    <w:p>
      <w:pPr>
        <w:pStyle w:val="Normalny"/>
        <w:spacing w:line="280" w:lineRule="exact"/>
        <w:rPr>
          <w:rFonts w:ascii="MuseumSztukiNovo5-SemiBold" w:cs="MuseumSztukiNovo5-SemiBold" w:hAnsi="MuseumSztukiNovo5-SemiBold" w:eastAsia="MuseumSztukiNovo5-SemiBold"/>
          <w:b w:val="1"/>
          <w:bCs w:val="1"/>
          <w:sz w:val="24"/>
          <w:szCs w:val="24"/>
          <w:rtl w:val="0"/>
          <w:lang w:val="en-US"/>
        </w:rPr>
      </w:pPr>
    </w:p>
    <w:p>
      <w:pPr>
        <w:pStyle w:val="Normalny"/>
        <w:spacing w:line="280" w:lineRule="exact"/>
        <w:rPr>
          <w:rFonts w:ascii="MuseumSztukiNovo5-SemiBold" w:cs="MuseumSztukiNovo5-SemiBold" w:hAnsi="MuseumSztukiNovo5-SemiBold" w:eastAsia="MuseumSztukiNovo5-SemiBold"/>
          <w:b w:val="1"/>
          <w:bCs w:val="1"/>
        </w:rPr>
      </w:pPr>
    </w:p>
    <w:p>
      <w:pPr>
        <w:pStyle w:val="Normalny"/>
        <w:spacing w:line="280" w:lineRule="exact"/>
        <w:rPr>
          <w:rFonts w:ascii="Theinhardt Light" w:cs="Theinhardt Light" w:hAnsi="Theinhardt Light" w:eastAsia="Theinhardt Light"/>
        </w:rPr>
      </w:pPr>
      <w:r>
        <w:rPr>
          <w:rFonts w:ascii="MuseumSztukiNovo5-SemiBold" w:cs="MuseumSztukiNovo5-SemiBold" w:hAnsi="MuseumSztukiNovo5-SemiBold" w:eastAsia="MuseumSztukiNovo5-SemiBold"/>
          <w:b w:val="1"/>
          <w:bCs w:val="1"/>
          <w:sz w:val="24"/>
          <w:szCs w:val="24"/>
          <w:rtl w:val="0"/>
        </w:rPr>
        <w:drawing>
          <wp:anchor distT="152400" distB="152400" distL="152400" distR="152400" simplePos="0" relativeHeight="251664384" behindDoc="0" locked="0" layoutInCell="1" allowOverlap="1">
            <wp:simplePos x="0" y="0"/>
            <wp:positionH relativeFrom="page">
              <wp:posOffset>894081</wp:posOffset>
            </wp:positionH>
            <wp:positionV relativeFrom="line">
              <wp:posOffset>189229</wp:posOffset>
            </wp:positionV>
            <wp:extent cx="1578656" cy="655466"/>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jpeg"/>
                    <pic:cNvPicPr/>
                  </pic:nvPicPr>
                  <pic:blipFill>
                    <a:blip r:embed="rId8">
                      <a:extLst/>
                    </a:blip>
                    <a:stretch>
                      <a:fillRect/>
                    </a:stretch>
                  </pic:blipFill>
                  <pic:spPr>
                    <a:xfrm>
                      <a:off x="0" y="0"/>
                      <a:ext cx="1578656" cy="655466"/>
                    </a:xfrm>
                    <a:prstGeom prst="rect">
                      <a:avLst/>
                    </a:prstGeom>
                    <a:ln w="12700" cap="flat">
                      <a:noFill/>
                      <a:miter lim="400000"/>
                    </a:ln>
                    <a:effectLst/>
                  </pic:spPr>
                </pic:pic>
              </a:graphicData>
            </a:graphic>
          </wp:anchor>
        </w:drawing>
      </w: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r>
        <w:rPr>
          <w:rFonts w:ascii="Theinhardt Light" w:cs="Theinhardt Light" w:hAnsi="Theinhardt Light" w:eastAsia="Theinhardt Light"/>
          <w:sz w:val="24"/>
          <w:szCs w:val="24"/>
          <w:rtl w:val="0"/>
        </w:rPr>
        <w:drawing>
          <wp:anchor distT="152400" distB="152400" distL="152400" distR="152400" simplePos="0" relativeHeight="251663360" behindDoc="0" locked="0" layoutInCell="1" allowOverlap="1">
            <wp:simplePos x="0" y="0"/>
            <wp:positionH relativeFrom="page">
              <wp:posOffset>894080</wp:posOffset>
            </wp:positionH>
            <wp:positionV relativeFrom="line">
              <wp:posOffset>204468</wp:posOffset>
            </wp:positionV>
            <wp:extent cx="1251381" cy="637301"/>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eg"/>
                    <pic:cNvPicPr/>
                  </pic:nvPicPr>
                  <pic:blipFill>
                    <a:blip r:embed="rId9">
                      <a:extLst/>
                    </a:blip>
                    <a:stretch>
                      <a:fillRect/>
                    </a:stretch>
                  </pic:blipFill>
                  <pic:spPr>
                    <a:xfrm>
                      <a:off x="0" y="0"/>
                      <a:ext cx="1251381" cy="637301"/>
                    </a:xfrm>
                    <a:prstGeom prst="rect">
                      <a:avLst/>
                    </a:prstGeom>
                    <a:ln w="12700" cap="flat">
                      <a:noFill/>
                      <a:miter lim="400000"/>
                    </a:ln>
                    <a:effectLst/>
                  </pic:spPr>
                </pic:pic>
              </a:graphicData>
            </a:graphic>
          </wp:anchor>
        </w:drawing>
      </w:r>
    </w:p>
    <w:p>
      <w:pPr>
        <w:pStyle w:val="Normalny"/>
        <w:spacing w:line="280" w:lineRule="exact"/>
        <w:rPr>
          <w:rFonts w:ascii="Theinhardt Light" w:cs="Theinhardt Light" w:hAnsi="Theinhardt Light" w:eastAsia="Theinhardt Light"/>
        </w:rPr>
      </w:pPr>
    </w:p>
    <w:p>
      <w:pPr>
        <w:pStyle w:val="Normalny"/>
        <w:spacing w:line="280" w:lineRule="exact"/>
        <w:rPr>
          <w:rFonts w:ascii="Theinhardt Light" w:cs="Theinhardt Light" w:hAnsi="Theinhardt Light" w:eastAsia="Theinhardt Light"/>
        </w:rPr>
      </w:pPr>
    </w:p>
    <w:p>
      <w:pPr>
        <w:pStyle w:val="Normalny"/>
        <w:spacing w:line="280" w:lineRule="exact"/>
      </w:pPr>
      <w:r>
        <w:rPr>
          <w:rFonts w:ascii="Theinhardt Light" w:cs="Theinhardt Light" w:hAnsi="Theinhardt Light" w:eastAsia="Theinhardt Light"/>
        </w:rPr>
      </w:r>
    </w:p>
    <w:sectPr>
      <w:headerReference w:type="default" r:id="rId10"/>
      <w:footerReference w:type="default" r:id="rId11"/>
      <w:pgSz w:w="11900" w:h="16840" w:orient="portrait"/>
      <w:pgMar w:top="1134" w:right="1701" w:bottom="1134"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MuseumSztukiNovo5-SemiBold">
    <w:charset w:val="00"/>
    <w:family w:val="roman"/>
    <w:pitch w:val="default"/>
  </w:font>
  <w:font w:name="Theinhardt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agłówek i stopk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agłówek i stopka"/>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Nagłówek i stopka">
    <w:name w:val="Nagłówek i stopka"/>
    <w:next w:val="Nagłówek i stopk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ny">
    <w:name w:val="Normalny"/>
    <w:next w:val="Normaln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