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78" w:type="dxa"/>
        <w:tblInd w:w="-147" w:type="dxa"/>
        <w:tblLook w:val="04A0" w:firstRow="1" w:lastRow="0" w:firstColumn="1" w:lastColumn="0" w:noHBand="0" w:noVBand="1"/>
      </w:tblPr>
      <w:tblGrid>
        <w:gridCol w:w="2841"/>
        <w:gridCol w:w="6237"/>
        <w:tblGridChange w:id="0">
          <w:tblGrid>
            <w:gridCol w:w="2841"/>
            <w:gridCol w:w="6237"/>
          </w:tblGrid>
        </w:tblGridChange>
      </w:tblGrid>
      <w:tr w:rsidR="00807D90" w:rsidTr="00807D90">
        <w:trPr>
          <w:trHeight w:val="2268"/>
        </w:trPr>
        <w:tc>
          <w:tcPr>
            <w:tcW w:w="2841" w:type="dxa"/>
            <w:tcBorders>
              <w:top w:val="nil"/>
              <w:left w:val="nil"/>
              <w:bottom w:val="nil"/>
              <w:right w:val="nil"/>
            </w:tcBorders>
          </w:tcPr>
          <w:p w:rsidR="00FB6713" w:rsidRDefault="00FB6713" w:rsidP="00FB67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" w:after="0" w:line="360" w:lineRule="auto"/>
              <w:rPr>
                <w:rStyle w:val="NoneA"/>
                <w:rFonts w:ascii="Theinhardt Light" w:hAnsi="Theinhardt Light"/>
                <w:sz w:val="24"/>
                <w:szCs w:val="24"/>
              </w:rPr>
            </w:pPr>
            <w:r>
              <w:rPr>
                <w:rStyle w:val="NoneA"/>
                <w:rFonts w:ascii="Theinhardt Light" w:hAnsi="Theinhardt Light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39" type="#_x0000_t75" style="width:62.25pt;height:150pt">
                  <v:imagedata r:id="rId7" o:title="logo_Muzeum_PL_wysokie_M_HQ"/>
                </v:shape>
              </w:pict>
            </w:r>
          </w:p>
          <w:p w:rsidR="00807D90" w:rsidRDefault="00807D90" w:rsidP="00FB671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" w:after="0" w:line="360" w:lineRule="auto"/>
              <w:rPr>
                <w:rStyle w:val="NoneA"/>
                <w:rFonts w:ascii="Theinhardt Light" w:hAnsi="Theinhardt Light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FB6713" w:rsidRPr="00807D90" w:rsidRDefault="00FB6713" w:rsidP="007F388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566"/>
              </w:tabs>
              <w:spacing w:before="3" w:after="0" w:line="360" w:lineRule="auto"/>
              <w:jc w:val="right"/>
              <w:rPr>
                <w:rStyle w:val="NoneA"/>
                <w:rFonts w:ascii="Theinhardt Light" w:hAnsi="Theinhardt Light"/>
                <w:sz w:val="30"/>
                <w:szCs w:val="30"/>
              </w:rPr>
            </w:pPr>
            <w:r w:rsidRPr="00807D90">
              <w:rPr>
                <w:rStyle w:val="NoneA"/>
                <w:rFonts w:ascii="Theinhardt Light" w:hAnsi="Theinhardt Light"/>
                <w:sz w:val="30"/>
                <w:szCs w:val="30"/>
              </w:rPr>
              <w:t xml:space="preserve">Budowa nowej siedziby </w:t>
            </w:r>
            <w:r w:rsidRPr="00807D90">
              <w:rPr>
                <w:rStyle w:val="NoneA"/>
                <w:rFonts w:ascii="Theinhardt Light" w:eastAsia="Arial Unicode MS" w:hAnsi="Theinhardt Light" w:cs="Arial Unicode MS"/>
                <w:sz w:val="30"/>
                <w:szCs w:val="30"/>
              </w:rPr>
              <w:br/>
            </w:r>
            <w:r w:rsidRPr="00807D90">
              <w:rPr>
                <w:rStyle w:val="NoneA"/>
                <w:rFonts w:ascii="Theinhardt Light" w:hAnsi="Theinhardt Light"/>
                <w:sz w:val="30"/>
                <w:szCs w:val="30"/>
              </w:rPr>
              <w:t xml:space="preserve">Muzeum Sztuki Nowoczesnej </w:t>
            </w:r>
            <w:r w:rsidR="00807D90">
              <w:rPr>
                <w:rStyle w:val="NoneA"/>
                <w:rFonts w:ascii="Theinhardt Light" w:hAnsi="Theinhardt Light"/>
                <w:sz w:val="30"/>
                <w:szCs w:val="30"/>
              </w:rPr>
              <w:t xml:space="preserve">w </w:t>
            </w:r>
            <w:r w:rsidRPr="00807D90">
              <w:rPr>
                <w:rStyle w:val="NoneA"/>
                <w:rFonts w:ascii="Theinhardt Light" w:hAnsi="Theinhardt Light"/>
                <w:sz w:val="30"/>
                <w:szCs w:val="30"/>
              </w:rPr>
              <w:t xml:space="preserve">Warszawie </w:t>
            </w:r>
            <w:r w:rsidRPr="00807D90">
              <w:rPr>
                <w:rStyle w:val="NoneA"/>
                <w:rFonts w:ascii="Theinhardt Light" w:hAnsi="Theinhardt Light"/>
                <w:sz w:val="30"/>
                <w:szCs w:val="30"/>
              </w:rPr>
              <w:br/>
              <w:t>M</w:t>
            </w:r>
            <w:r w:rsidRPr="00807D90">
              <w:rPr>
                <w:rStyle w:val="NoneA"/>
                <w:rFonts w:ascii="Theinhardt Light" w:hAnsi="Theinhardt Light"/>
                <w:sz w:val="30"/>
                <w:szCs w:val="30"/>
                <w:lang w:val="it-IT"/>
              </w:rPr>
              <w:t>ateria</w:t>
            </w:r>
            <w:proofErr w:type="spellStart"/>
            <w:r w:rsidRPr="00807D90">
              <w:rPr>
                <w:rStyle w:val="NoneA"/>
                <w:rFonts w:ascii="Theinhardt Light" w:hAnsi="Theinhardt Light"/>
                <w:sz w:val="30"/>
                <w:szCs w:val="30"/>
              </w:rPr>
              <w:t>ły</w:t>
            </w:r>
            <w:proofErr w:type="spellEnd"/>
            <w:r w:rsidRPr="00807D90">
              <w:rPr>
                <w:rStyle w:val="NoneA"/>
                <w:rFonts w:ascii="Theinhardt Light" w:hAnsi="Theinhardt Light"/>
                <w:sz w:val="30"/>
                <w:szCs w:val="30"/>
              </w:rPr>
              <w:t xml:space="preserve"> informacyjne</w:t>
            </w:r>
          </w:p>
        </w:tc>
      </w:tr>
    </w:tbl>
    <w:p w:rsidR="00163D62" w:rsidRPr="00FB6713" w:rsidRDefault="00801CC3">
      <w:pPr>
        <w:spacing w:line="360" w:lineRule="auto"/>
        <w:jc w:val="both"/>
        <w:rPr>
          <w:rStyle w:val="NoneA"/>
          <w:rFonts w:ascii="Theinhardt Light" w:eastAsia="Theinhardt Light" w:hAnsi="Theinhardt Light" w:cs="Theinhardt Light"/>
          <w:sz w:val="24"/>
          <w:szCs w:val="24"/>
        </w:rPr>
      </w:pPr>
      <w:r w:rsidRPr="00FB6713">
        <w:rPr>
          <w:rStyle w:val="NoneA"/>
          <w:rFonts w:ascii="Theinhardt Light" w:hAnsi="Theinhardt Light"/>
          <w:sz w:val="24"/>
          <w:szCs w:val="24"/>
        </w:rPr>
        <w:t xml:space="preserve">Od kilku miesięcy trwa budowa przyszłej siedziby Muzeum Sztuki Nowoczesnej w Warszawie. To niezwykle ważna dla miasta inwestycja,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kt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  <w:lang w:val="es-ES_tradnl"/>
        </w:rPr>
        <w:t>ó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ra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ma zaktywizować tę część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Śr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  <w:lang w:val="es-ES_tradnl"/>
        </w:rPr>
        <w:t>ó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dmieścia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oraz jest początkiem przebudowy całego otoczenia Pałacu Kultury. </w:t>
      </w:r>
    </w:p>
    <w:p w:rsidR="00FB6713" w:rsidRDefault="00801CC3">
      <w:pPr>
        <w:spacing w:line="360" w:lineRule="auto"/>
        <w:jc w:val="both"/>
        <w:rPr>
          <w:rStyle w:val="NoneA"/>
          <w:rFonts w:ascii="Theinhardt Light" w:hAnsi="Theinhardt Light"/>
          <w:sz w:val="24"/>
          <w:szCs w:val="24"/>
        </w:rPr>
      </w:pPr>
      <w:r w:rsidRPr="00FB6713">
        <w:rPr>
          <w:rStyle w:val="NoneA"/>
          <w:rFonts w:ascii="Theinhardt Light" w:hAnsi="Theinhardt Light"/>
          <w:sz w:val="24"/>
          <w:szCs w:val="24"/>
        </w:rPr>
        <w:t xml:space="preserve">Generalnym Wykonawcą budynku jest WARBUD S.A. Za projekt muzeum odpowiada nowojorska firma architektoniczna Thomas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Phifer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and Partners we współpracy z pracownią APA Wojciechowski Sp. z o.o., natomiast projektantem konstrukcji i instalacji jest biuro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BuroHappold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Engineering. Funkcję inżyniera kontraktu pełni konsorcjum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Ecm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Group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Polska</w:t>
      </w:r>
      <w:r w:rsidR="007F388B" w:rsidRPr="00FB6713">
        <w:rPr>
          <w:rStyle w:val="NoneA"/>
          <w:rFonts w:ascii="Theinhardt Light" w:hAnsi="Theinhardt Light"/>
          <w:sz w:val="24"/>
          <w:szCs w:val="24"/>
        </w:rPr>
        <w:br/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Sp.z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o.o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i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Portico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Project Management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Sp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z o. o., opiekę prawną dla MSN w zakresie inwestycyjnym świadczy kancelaria KKLW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Kurzyński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Łyszyk Wierzbicki Sp. k.</w:t>
      </w:r>
    </w:p>
    <w:p w:rsidR="00FB6713" w:rsidRDefault="00FB6713">
      <w:pPr>
        <w:spacing w:line="360" w:lineRule="auto"/>
        <w:jc w:val="both"/>
        <w:rPr>
          <w:rStyle w:val="NoneA"/>
          <w:rFonts w:ascii="Theinhardt Light" w:hAnsi="Theinhardt Light"/>
          <w:sz w:val="24"/>
          <w:szCs w:val="24"/>
        </w:rPr>
      </w:pPr>
    </w:p>
    <w:p w:rsidR="00163D62" w:rsidRPr="00FB6713" w:rsidRDefault="00801CC3">
      <w:pPr>
        <w:spacing w:line="360" w:lineRule="auto"/>
        <w:jc w:val="both"/>
        <w:rPr>
          <w:rStyle w:val="NoneA"/>
          <w:rFonts w:ascii="Theinhardt Light" w:hAnsi="Theinhardt Light"/>
          <w:sz w:val="24"/>
          <w:szCs w:val="24"/>
        </w:rPr>
      </w:pPr>
      <w:r w:rsidRPr="00FB6713">
        <w:rPr>
          <w:rStyle w:val="NoneA"/>
          <w:rFonts w:ascii="Theinhardt Light" w:hAnsi="Theinhardt Light"/>
          <w:sz w:val="24"/>
          <w:szCs w:val="24"/>
        </w:rPr>
        <w:t>Budynek Muzeum, usytuowany wzdłuż wschodniej strony ul. Marszałkowskiej, obejmuje</w:t>
      </w:r>
      <w:r w:rsidR="007F388B" w:rsidRPr="00FB6713">
        <w:rPr>
          <w:rStyle w:val="NoneA"/>
          <w:rFonts w:ascii="Theinhardt Light" w:hAnsi="Theinhardt Light"/>
          <w:sz w:val="24"/>
          <w:szCs w:val="24"/>
        </w:rPr>
        <w:br/>
      </w:r>
      <w:r w:rsidRPr="00FB6713">
        <w:rPr>
          <w:rStyle w:val="NoneA"/>
          <w:rFonts w:ascii="Theinhardt Light" w:hAnsi="Theinhardt Light"/>
          <w:sz w:val="24"/>
          <w:szCs w:val="24"/>
        </w:rPr>
        <w:t>ok. 20 000 metr</w:t>
      </w:r>
      <w:r w:rsidRPr="00FB6713">
        <w:rPr>
          <w:rStyle w:val="NoneA"/>
          <w:rFonts w:ascii="Theinhardt Light" w:hAnsi="Theinhardt Light"/>
          <w:sz w:val="24"/>
          <w:szCs w:val="24"/>
          <w:lang w:val="es-ES_tradnl"/>
        </w:rPr>
        <w:t>ó</w:t>
      </w:r>
      <w:r w:rsidRPr="00FB6713">
        <w:rPr>
          <w:rStyle w:val="NoneA"/>
          <w:rFonts w:ascii="Theinhardt Light" w:hAnsi="Theinhardt Light"/>
          <w:sz w:val="24"/>
          <w:szCs w:val="24"/>
        </w:rPr>
        <w:t>w kwadratowych powierzchni całkowitej na 4 kondygnacjach nadziemnych</w:t>
      </w:r>
      <w:r w:rsidR="007F388B" w:rsidRPr="00FB6713">
        <w:rPr>
          <w:rStyle w:val="NoneA"/>
          <w:rFonts w:ascii="Theinhardt Light" w:hAnsi="Theinhardt Light"/>
          <w:sz w:val="24"/>
          <w:szCs w:val="24"/>
        </w:rPr>
        <w:br/>
      </w:r>
      <w:r w:rsidRPr="00FB6713">
        <w:rPr>
          <w:rStyle w:val="NoneA"/>
          <w:rFonts w:ascii="Theinhardt Light" w:hAnsi="Theinhardt Light"/>
          <w:sz w:val="24"/>
          <w:szCs w:val="24"/>
        </w:rPr>
        <w:t>i 2 kondygnacjach podziemnych.</w:t>
      </w:r>
      <w:r w:rsidRPr="00FB6713">
        <w:rPr>
          <w:rStyle w:val="NoneA"/>
          <w:rFonts w:ascii="Theinhardt Light" w:hAnsi="Theinhardt Light"/>
          <w:sz w:val="24"/>
          <w:szCs w:val="24"/>
          <w:lang w:val="de-DE"/>
        </w:rPr>
        <w:t xml:space="preserve"> </w:t>
      </w:r>
    </w:p>
    <w:p w:rsidR="00163D62" w:rsidRPr="00FB6713" w:rsidRDefault="00801CC3">
      <w:pPr>
        <w:spacing w:line="360" w:lineRule="auto"/>
        <w:jc w:val="both"/>
        <w:rPr>
          <w:rStyle w:val="NoneA"/>
          <w:rFonts w:ascii="Theinhardt Light" w:hAnsi="Theinhardt Light"/>
          <w:sz w:val="24"/>
          <w:szCs w:val="24"/>
        </w:rPr>
      </w:pPr>
      <w:r w:rsidRPr="00FB6713">
        <w:rPr>
          <w:rStyle w:val="NoneA"/>
          <w:rFonts w:ascii="Theinhardt Light" w:hAnsi="Theinhardt Light"/>
          <w:sz w:val="24"/>
          <w:szCs w:val="24"/>
        </w:rPr>
        <w:t>Podstawowym programem funkcjonalnym zawartym we wnętrzach muzeum są: przestrzenie wystawowe o powierzchni ponad 4500 metr</w:t>
      </w:r>
      <w:r w:rsidRPr="00FB6713">
        <w:rPr>
          <w:rStyle w:val="NoneA"/>
          <w:rFonts w:ascii="Theinhardt Light" w:hAnsi="Theinhardt Light"/>
          <w:sz w:val="24"/>
          <w:szCs w:val="24"/>
          <w:lang w:val="es-ES_tradnl"/>
        </w:rPr>
        <w:t>ó</w:t>
      </w:r>
      <w:r w:rsidRPr="00FB6713">
        <w:rPr>
          <w:rStyle w:val="NoneA"/>
          <w:rFonts w:ascii="Theinhardt Light" w:hAnsi="Theinhardt Light"/>
          <w:sz w:val="24"/>
          <w:szCs w:val="24"/>
        </w:rPr>
        <w:t>w kwadratowych, sale edukacyjne, pomieszczenia służące konserwacji i magazyny dzieł sztuki. W programie uzupełniającym znalazły się: kino, audytorium, kawiarnia i sklep. W budynku umieszczono r</w:t>
      </w:r>
      <w:r w:rsidRPr="00FB6713">
        <w:rPr>
          <w:rStyle w:val="NoneA"/>
          <w:rFonts w:ascii="Theinhardt Light" w:hAnsi="Theinhardt Light"/>
          <w:sz w:val="24"/>
          <w:szCs w:val="24"/>
          <w:lang w:val="es-ES_tradnl"/>
        </w:rPr>
        <w:t>ó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wnież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powierzchnie biurowe przeznaczone dla administracji muzeum. </w:t>
      </w:r>
    </w:p>
    <w:p w:rsidR="00163D62" w:rsidRPr="00FB6713" w:rsidRDefault="00801CC3">
      <w:pPr>
        <w:spacing w:line="360" w:lineRule="auto"/>
        <w:jc w:val="both"/>
        <w:rPr>
          <w:rStyle w:val="NoneA"/>
          <w:rFonts w:ascii="Theinhardt Light" w:hAnsi="Theinhardt Light"/>
          <w:sz w:val="24"/>
          <w:szCs w:val="24"/>
        </w:rPr>
      </w:pPr>
      <w:r w:rsidRPr="00FB6713">
        <w:rPr>
          <w:rStyle w:val="NoneA"/>
          <w:rFonts w:ascii="Theinhardt Light" w:hAnsi="Theinhardt Light"/>
          <w:sz w:val="24"/>
          <w:szCs w:val="24"/>
        </w:rPr>
        <w:t xml:space="preserve">Parter budynku z wejściami z obydwu stron, od ul. Marszałkowskiej i od strony pasażu, zawiera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foyer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wejściowe, audytorium, przestrzeń edukacyjno-wykładową, galerię ekspozycji </w:t>
      </w:r>
      <w:r w:rsidRPr="00FB6713">
        <w:rPr>
          <w:rStyle w:val="NoneA"/>
          <w:rFonts w:ascii="Theinhardt Light" w:hAnsi="Theinhardt Light"/>
          <w:sz w:val="24"/>
          <w:szCs w:val="24"/>
        </w:rPr>
        <w:lastRenderedPageBreak/>
        <w:t xml:space="preserve">czasowej, sklep i kawiarnię. Wszystkie przestrzenie na parterze mają spełniać funkcje publiczne i być widoczne z zewnątrz, dzięki przeszkleniom na całej wysokości kondygnacji. Audytorium zaprojektowano jako przestrzeń oddzieloną od galerii jedynie systemem zasłon. Mniejsza sala edukacyjna na tej samej kondygnacji ma podobny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spos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  <w:lang w:val="es-ES_tradnl"/>
        </w:rPr>
        <w:t>ó</w:t>
      </w:r>
      <w:r w:rsidRPr="00FB6713">
        <w:rPr>
          <w:rStyle w:val="NoneA"/>
          <w:rFonts w:ascii="Theinhardt Light" w:hAnsi="Theinhardt Light"/>
          <w:sz w:val="24"/>
          <w:szCs w:val="24"/>
        </w:rPr>
        <w:t>b wykorzystania.</w:t>
      </w:r>
    </w:p>
    <w:p w:rsidR="00163D62" w:rsidRPr="00FB6713" w:rsidRDefault="00801CC3">
      <w:pPr>
        <w:spacing w:line="360" w:lineRule="auto"/>
        <w:jc w:val="both"/>
        <w:rPr>
          <w:rStyle w:val="NoneA"/>
          <w:rFonts w:ascii="Theinhardt Light" w:hAnsi="Theinhardt Light"/>
          <w:sz w:val="24"/>
          <w:szCs w:val="24"/>
        </w:rPr>
      </w:pPr>
      <w:r w:rsidRPr="00FB6713">
        <w:rPr>
          <w:rStyle w:val="NoneA"/>
          <w:rFonts w:ascii="Theinhardt Light" w:hAnsi="Theinhardt Light"/>
          <w:sz w:val="24"/>
          <w:szCs w:val="24"/>
        </w:rPr>
        <w:t>Główne przestrzenie wystawowe muzeum usytuowano na pierwszym i drugim piętrze wokół centralnej otwartej klatki schodowej. Na każdej z nich umieszczono po dwa zespoły połączonych ze sobą galerii, w północnej i południowej części budynku. Galerie na najwyższej kondygnacji zostaną doświetlone światłem rozproszonym poprzez świetliki rozmieszczone</w:t>
      </w:r>
      <w:r w:rsidR="007F388B" w:rsidRPr="00FB6713">
        <w:rPr>
          <w:rStyle w:val="NoneA"/>
          <w:rFonts w:ascii="Theinhardt Light" w:hAnsi="Theinhardt Light"/>
          <w:sz w:val="24"/>
          <w:szCs w:val="24"/>
        </w:rPr>
        <w:br/>
      </w:r>
      <w:r w:rsidRPr="00FB6713">
        <w:rPr>
          <w:rStyle w:val="NoneA"/>
          <w:rFonts w:ascii="Theinhardt Light" w:hAnsi="Theinhardt Light"/>
          <w:sz w:val="24"/>
          <w:szCs w:val="24"/>
        </w:rPr>
        <w:t>w przestrzeni dachu. Na półpiętrze znajdą się biura administracji muzeum. Na pierwszej kondygnacji podziemnej zaprojektowano: kino z widownią mieszczącą 150 os</w:t>
      </w:r>
      <w:r w:rsidRPr="00FB6713">
        <w:rPr>
          <w:rStyle w:val="NoneA"/>
          <w:rFonts w:ascii="Theinhardt Light" w:hAnsi="Theinhardt Light"/>
          <w:sz w:val="24"/>
          <w:szCs w:val="24"/>
          <w:lang w:val="es-ES_tradnl"/>
        </w:rPr>
        <w:t>ó</w:t>
      </w:r>
      <w:r w:rsidRPr="00FB6713">
        <w:rPr>
          <w:rStyle w:val="NoneA"/>
          <w:rFonts w:ascii="Theinhardt Light" w:hAnsi="Theinhardt Light"/>
          <w:sz w:val="24"/>
          <w:szCs w:val="24"/>
        </w:rPr>
        <w:t>b, przestrzeń edukacyjną, pracownie konserwatorskie, magazyny, zaplecze kawiarni i pomieszczenia techniczne; na drugiej kondygnacji: pomieszczenia do przechowywania i konserwacji dzieł sztuki, doki rozładunkowe oraz pozostałe pomieszczenia techniczne.</w:t>
      </w:r>
    </w:p>
    <w:p w:rsidR="00163D62" w:rsidRPr="00FB6713" w:rsidRDefault="00801CC3">
      <w:pPr>
        <w:spacing w:line="360" w:lineRule="auto"/>
        <w:jc w:val="both"/>
        <w:rPr>
          <w:rStyle w:val="NoneA"/>
          <w:rFonts w:ascii="Theinhardt Light" w:hAnsi="Theinhardt Light"/>
          <w:sz w:val="24"/>
          <w:szCs w:val="24"/>
        </w:rPr>
      </w:pPr>
      <w:r w:rsidRPr="00FB6713">
        <w:rPr>
          <w:rStyle w:val="NoneA"/>
          <w:rFonts w:ascii="Theinhardt Light" w:hAnsi="Theinhardt Light"/>
          <w:sz w:val="24"/>
          <w:szCs w:val="24"/>
        </w:rPr>
        <w:t>Główne wejścia do budynku znajdują się we wschodniej i zachodniej fasadzie budynku.</w:t>
      </w:r>
      <w:r w:rsidR="007F388B" w:rsidRPr="00FB6713">
        <w:rPr>
          <w:rStyle w:val="NoneA"/>
          <w:rFonts w:ascii="Theinhardt Light" w:hAnsi="Theinhardt Light"/>
          <w:sz w:val="24"/>
          <w:szCs w:val="24"/>
        </w:rPr>
        <w:br/>
      </w:r>
      <w:r w:rsidRPr="00FB6713">
        <w:rPr>
          <w:rStyle w:val="NoneA"/>
          <w:rFonts w:ascii="Theinhardt Light" w:hAnsi="Theinhardt Light"/>
          <w:sz w:val="24"/>
          <w:szCs w:val="24"/>
        </w:rPr>
        <w:t>Od ul. Marszałkowskiej zaprojektowano dodatkowo wejście służbowe. Zwiedzający będą wchodzić do kina przez wolnostojący pawilon, usytuowany w północnej części działki.</w:t>
      </w:r>
    </w:p>
    <w:p w:rsidR="00163D62" w:rsidRPr="00FB6713" w:rsidRDefault="00801CC3">
      <w:pPr>
        <w:spacing w:line="360" w:lineRule="auto"/>
        <w:jc w:val="both"/>
        <w:rPr>
          <w:rStyle w:val="NoneA"/>
          <w:rFonts w:ascii="Theinhardt Light" w:hAnsi="Theinhardt Light"/>
          <w:sz w:val="24"/>
          <w:szCs w:val="24"/>
        </w:rPr>
      </w:pPr>
      <w:r w:rsidRPr="00FB6713">
        <w:rPr>
          <w:rStyle w:val="NoneA"/>
          <w:rFonts w:ascii="Theinhardt Light" w:hAnsi="Theinhardt Light"/>
          <w:sz w:val="24"/>
          <w:szCs w:val="24"/>
        </w:rPr>
        <w:t xml:space="preserve">Komunikacja pionowa dla zwiedzających muzeum odbywać się będzie za pomocą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dw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  <w:lang w:val="es-ES_tradnl"/>
        </w:rPr>
        <w:t>ó</w:t>
      </w:r>
      <w:r w:rsidRPr="00FB6713">
        <w:rPr>
          <w:rStyle w:val="NoneA"/>
          <w:rFonts w:ascii="Theinhardt Light" w:hAnsi="Theinhardt Light"/>
          <w:sz w:val="24"/>
          <w:szCs w:val="24"/>
          <w:lang w:val="da-DK"/>
        </w:rPr>
        <w:t>ch og</w:t>
      </w:r>
      <w:r w:rsidRPr="00FB6713">
        <w:rPr>
          <w:rStyle w:val="NoneA"/>
          <w:rFonts w:ascii="Theinhardt Light" w:hAnsi="Theinhardt Light"/>
          <w:sz w:val="24"/>
          <w:szCs w:val="24"/>
          <w:lang w:val="es-ES_tradnl"/>
        </w:rPr>
        <w:t>ó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lnodostępnych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</w:rPr>
        <w:t xml:space="preserve"> wind oraz otwartej klatki schodowej. W budynku znajdą się także dwie dodatkowe windy dla pracownik</w:t>
      </w:r>
      <w:r w:rsidRPr="00FB6713">
        <w:rPr>
          <w:rStyle w:val="NoneA"/>
          <w:rFonts w:ascii="Theinhardt Light" w:hAnsi="Theinhardt Light"/>
          <w:sz w:val="24"/>
          <w:szCs w:val="24"/>
          <w:lang w:val="es-ES_tradnl"/>
        </w:rPr>
        <w:t>ó</w:t>
      </w:r>
      <w:r w:rsidRPr="00FB6713">
        <w:rPr>
          <w:rStyle w:val="NoneA"/>
          <w:rFonts w:ascii="Theinhardt Light" w:hAnsi="Theinhardt Light"/>
          <w:sz w:val="24"/>
          <w:szCs w:val="24"/>
        </w:rPr>
        <w:t>w, usytuowane na przeciwległych końcach budynku oraz zlokalizowana centralnie winda towarowa do transportu dzieł sztuki. Trzy obudowane klatki schodowe zaprojektowano zgodnie z wymaganiami ewakuacyjnymi budynku.</w:t>
      </w:r>
    </w:p>
    <w:p w:rsidR="00163D62" w:rsidRPr="00FB6713" w:rsidRDefault="00801CC3">
      <w:pPr>
        <w:spacing w:line="360" w:lineRule="auto"/>
        <w:jc w:val="both"/>
        <w:rPr>
          <w:rStyle w:val="NoneA"/>
          <w:rFonts w:ascii="Theinhardt Light" w:hAnsi="Theinhardt Light"/>
          <w:sz w:val="24"/>
          <w:szCs w:val="24"/>
        </w:rPr>
      </w:pPr>
      <w:r w:rsidRPr="00FB6713">
        <w:rPr>
          <w:rStyle w:val="NoneA"/>
          <w:rFonts w:ascii="Theinhardt Light" w:hAnsi="Theinhardt Light"/>
          <w:sz w:val="24"/>
          <w:szCs w:val="24"/>
        </w:rPr>
        <w:t xml:space="preserve">Fasada budynku będzie jednolicie biała, co pozwoli łagodnie uspokoić urbanistyczny krajobraz tej części miasta. Jej monumentalna powierzchnia zostanie przecięta pasami okien doświetlających przestrzenie galerii, </w:t>
      </w:r>
      <w:proofErr w:type="spellStart"/>
      <w:r w:rsidRPr="00FB6713">
        <w:rPr>
          <w:rStyle w:val="NoneA"/>
          <w:rFonts w:ascii="Theinhardt Light" w:hAnsi="Theinhardt Light"/>
          <w:sz w:val="24"/>
          <w:szCs w:val="24"/>
        </w:rPr>
        <w:t>kt</w:t>
      </w:r>
      <w:proofErr w:type="spellEnd"/>
      <w:r w:rsidRPr="00FB6713">
        <w:rPr>
          <w:rStyle w:val="NoneA"/>
          <w:rFonts w:ascii="Theinhardt Light" w:hAnsi="Theinhardt Light"/>
          <w:sz w:val="24"/>
          <w:szCs w:val="24"/>
          <w:lang w:val="es-ES_tradnl"/>
        </w:rPr>
        <w:t>ó</w:t>
      </w:r>
      <w:r w:rsidRPr="00FB6713">
        <w:rPr>
          <w:rStyle w:val="NoneA"/>
          <w:rFonts w:ascii="Theinhardt Light" w:hAnsi="Theinhardt Light"/>
          <w:sz w:val="24"/>
          <w:szCs w:val="24"/>
        </w:rPr>
        <w:t>re nadadzą całej bryle bardziej rzeźbiarski charakter. Linia elewacji parteru została cofnięta</w:t>
      </w:r>
      <w:bookmarkStart w:id="1" w:name="_GoBack"/>
      <w:bookmarkEnd w:id="1"/>
      <w:r w:rsidRPr="00FB6713">
        <w:rPr>
          <w:rStyle w:val="NoneA"/>
          <w:rFonts w:ascii="Theinhardt Light" w:hAnsi="Theinhardt Light"/>
          <w:sz w:val="24"/>
          <w:szCs w:val="24"/>
        </w:rPr>
        <w:t xml:space="preserve"> względem wyższych pięter w celu utworzenia podcięcia budynku (zgodnie z wymaganiami MPZP).</w:t>
      </w:r>
    </w:p>
    <w:p w:rsidR="00163D62" w:rsidRPr="00FB6713" w:rsidRDefault="00801CC3">
      <w:pPr>
        <w:spacing w:line="360" w:lineRule="auto"/>
        <w:jc w:val="both"/>
        <w:rPr>
          <w:rFonts w:ascii="Theinhardt Light" w:hAnsi="Theinhardt Light"/>
          <w:sz w:val="24"/>
          <w:szCs w:val="24"/>
        </w:rPr>
      </w:pPr>
      <w:r w:rsidRPr="00FB6713">
        <w:rPr>
          <w:rStyle w:val="NoneA"/>
          <w:rFonts w:ascii="Theinhardt Light" w:hAnsi="Theinhardt Light"/>
          <w:sz w:val="24"/>
          <w:szCs w:val="24"/>
        </w:rPr>
        <w:t>Przestrzeń przed Muzeum zaplanowana została jako „forum” – miejsce działań kulturalnych, łącznik pomiędzy placem Centralnym a Parkiem Świętokrzyskim. W miejscu, gdzie nie koliduje to z tunelami metra zostaną zasadzone wysokie drzewa.</w:t>
      </w:r>
    </w:p>
    <w:sectPr w:rsidR="00163D62" w:rsidRPr="00FB6713" w:rsidSect="00807D90">
      <w:headerReference w:type="default" r:id="rId8"/>
      <w:footerReference w:type="default" r:id="rId9"/>
      <w:pgSz w:w="11900" w:h="16840"/>
      <w:pgMar w:top="1135" w:right="1417" w:bottom="1276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538" w:rsidRDefault="00C90538">
      <w:pPr>
        <w:spacing w:after="0" w:line="240" w:lineRule="auto"/>
      </w:pPr>
      <w:r>
        <w:separator/>
      </w:r>
    </w:p>
  </w:endnote>
  <w:endnote w:type="continuationSeparator" w:id="0">
    <w:p w:rsidR="00C90538" w:rsidRDefault="00C90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einhardt Light">
    <w:altName w:val="Theinhardt Light"/>
    <w:panose1 w:val="020B0303020202020204"/>
    <w:charset w:val="00"/>
    <w:family w:val="swiss"/>
    <w:notTrueType/>
    <w:pitch w:val="variable"/>
    <w:sig w:usb0="A00000AF" w:usb1="5000206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62" w:rsidRDefault="00163D62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538" w:rsidRDefault="00C90538">
      <w:pPr>
        <w:spacing w:after="0" w:line="240" w:lineRule="auto"/>
      </w:pPr>
      <w:r>
        <w:separator/>
      </w:r>
    </w:p>
  </w:footnote>
  <w:footnote w:type="continuationSeparator" w:id="0">
    <w:p w:rsidR="00C90538" w:rsidRDefault="00C905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D62" w:rsidRDefault="00163D62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D62"/>
    <w:rsid w:val="00163D62"/>
    <w:rsid w:val="007F388B"/>
    <w:rsid w:val="00801CC3"/>
    <w:rsid w:val="00807D90"/>
    <w:rsid w:val="00881A75"/>
    <w:rsid w:val="00C90538"/>
    <w:rsid w:val="00FB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0CD81"/>
  <w15:docId w15:val="{C5183020-8428-4EE9-B027-3A61AE682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NoneA">
    <w:name w:val="None A"/>
  </w:style>
  <w:style w:type="paragraph" w:styleId="Tekstdymka">
    <w:name w:val="Balloon Text"/>
    <w:basedOn w:val="Normalny"/>
    <w:link w:val="TekstdymkaZnak"/>
    <w:uiPriority w:val="99"/>
    <w:semiHidden/>
    <w:unhideWhenUsed/>
    <w:rsid w:val="007F3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88B"/>
    <w:rPr>
      <w:rFonts w:ascii="Segoe UI" w:eastAsia="Calibri" w:hAnsi="Segoe UI" w:cs="Segoe UI"/>
      <w:color w:val="000000"/>
      <w:sz w:val="18"/>
      <w:szCs w:val="18"/>
      <w:u w:color="000000"/>
    </w:rPr>
  </w:style>
  <w:style w:type="table" w:styleId="Tabela-Siatka">
    <w:name w:val="Table Grid"/>
    <w:basedOn w:val="Standardowy"/>
    <w:uiPriority w:val="39"/>
    <w:rsid w:val="00FB6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BB7C8-4DE9-453A-B1B0-B91D7409E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Winczakiewicz</dc:creator>
  <cp:lastModifiedBy>Iga Winczakiewicz</cp:lastModifiedBy>
  <cp:revision>4</cp:revision>
  <cp:lastPrinted>2019-07-19T11:48:00Z</cp:lastPrinted>
  <dcterms:created xsi:type="dcterms:W3CDTF">2019-07-19T11:43:00Z</dcterms:created>
  <dcterms:modified xsi:type="dcterms:W3CDTF">2019-07-19T12:50:00Z</dcterms:modified>
</cp:coreProperties>
</file>