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072B2B" w:rsidRPr="00072B2B" w14:paraId="291A3641" w14:textId="77777777" w:rsidTr="00072B2B">
        <w:trPr>
          <w:trHeight w:val="3827"/>
        </w:trPr>
        <w:tc>
          <w:tcPr>
            <w:tcW w:w="4603" w:type="dxa"/>
          </w:tcPr>
          <w:p w14:paraId="6EA5955A" w14:textId="38BF4F10" w:rsidR="00072B2B" w:rsidRPr="00072B2B" w:rsidRDefault="0074018B" w:rsidP="004B71B5">
            <w:pPr>
              <w:spacing w:line="360" w:lineRule="auto"/>
              <w:jc w:val="both"/>
              <w:outlineLvl w:val="0"/>
              <w:rPr>
                <w:rFonts w:ascii="Theinhardt Regular" w:eastAsia="Calibri" w:hAnsi="Theinhardt Regular" w:cs="Times New Roman"/>
                <w:b/>
                <w:sz w:val="28"/>
                <w:szCs w:val="28"/>
              </w:rPr>
            </w:pPr>
            <w:r>
              <w:rPr>
                <w:rFonts w:ascii="Theinhardt Regular" w:eastAsia="Calibri" w:hAnsi="Theinhardt Regular" w:cs="Times New Roman"/>
                <w:b/>
                <w:sz w:val="28"/>
                <w:szCs w:val="28"/>
              </w:rPr>
              <w:pict w14:anchorId="5AC1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1.5pt">
                  <v:imagedata r:id="rId4" o:title="logo_MSN"/>
                </v:shape>
              </w:pict>
            </w:r>
          </w:p>
        </w:tc>
        <w:tc>
          <w:tcPr>
            <w:tcW w:w="4603" w:type="dxa"/>
          </w:tcPr>
          <w:p w14:paraId="34CD2CE2" w14:textId="77777777" w:rsidR="00072B2B" w:rsidRPr="00072B2B" w:rsidRDefault="00072B2B" w:rsidP="00072B2B">
            <w:pPr>
              <w:spacing w:line="360" w:lineRule="auto"/>
              <w:jc w:val="right"/>
              <w:outlineLvl w:val="0"/>
              <w:rPr>
                <w:rFonts w:ascii="Theinhardt Regular" w:eastAsia="Calibri" w:hAnsi="Theinhardt Regular" w:cs="Times New Roman"/>
                <w:b/>
                <w:sz w:val="32"/>
                <w:szCs w:val="32"/>
              </w:rPr>
            </w:pPr>
            <w:r w:rsidRPr="00072B2B">
              <w:rPr>
                <w:rFonts w:ascii="Theinhardt Regular" w:eastAsia="Calibri" w:hAnsi="Theinhardt Regular" w:cs="Times New Roman"/>
                <w:b/>
                <w:sz w:val="32"/>
                <w:szCs w:val="32"/>
              </w:rPr>
              <w:t xml:space="preserve">Czym jest Oświecenie? </w:t>
            </w:r>
          </w:p>
          <w:p w14:paraId="515AC147" w14:textId="77777777" w:rsidR="00072B2B" w:rsidRPr="00072B2B" w:rsidRDefault="00072B2B" w:rsidP="00072B2B">
            <w:pPr>
              <w:spacing w:line="360" w:lineRule="auto"/>
              <w:jc w:val="right"/>
              <w:outlineLvl w:val="0"/>
              <w:rPr>
                <w:rFonts w:ascii="Theinhardt Regular" w:eastAsia="Calibri" w:hAnsi="Theinhardt Regular" w:cs="Times New Roman"/>
                <w:b/>
                <w:sz w:val="32"/>
                <w:szCs w:val="32"/>
              </w:rPr>
            </w:pPr>
            <w:r w:rsidRPr="00072B2B">
              <w:rPr>
                <w:rFonts w:ascii="Theinhardt Regular" w:eastAsia="Calibri" w:hAnsi="Theinhardt Regular" w:cs="Times New Roman"/>
                <w:b/>
                <w:sz w:val="32"/>
                <w:szCs w:val="32"/>
              </w:rPr>
              <w:t>200 lat Gabinetu Rycin BUW</w:t>
            </w:r>
          </w:p>
          <w:p w14:paraId="52472480" w14:textId="77777777" w:rsidR="00072B2B" w:rsidRPr="00072B2B" w:rsidRDefault="00072B2B" w:rsidP="00072B2B">
            <w:pPr>
              <w:spacing w:line="360" w:lineRule="auto"/>
              <w:jc w:val="right"/>
              <w:outlineLvl w:val="0"/>
              <w:rPr>
                <w:rFonts w:ascii="Theinhardt Regular" w:eastAsia="Calibri" w:hAnsi="Theinhardt Regular" w:cs="Times New Roman"/>
                <w:b/>
                <w:sz w:val="22"/>
                <w:szCs w:val="22"/>
              </w:rPr>
            </w:pPr>
          </w:p>
          <w:p w14:paraId="0E502BED" w14:textId="77777777" w:rsidR="00072B2B" w:rsidRPr="00072B2B" w:rsidRDefault="00072B2B" w:rsidP="00072B2B">
            <w:pPr>
              <w:spacing w:line="360" w:lineRule="auto"/>
              <w:jc w:val="right"/>
              <w:rPr>
                <w:rFonts w:ascii="Theinhardt Regular" w:eastAsia="Calibri" w:hAnsi="Theinhardt Regular" w:cs="Times New Roman"/>
                <w:b/>
              </w:rPr>
            </w:pPr>
            <w:r w:rsidRPr="00072B2B">
              <w:rPr>
                <w:rFonts w:ascii="Theinhardt Regular" w:eastAsia="Calibri" w:hAnsi="Theinhardt Regular" w:cs="Times New Roman"/>
                <w:b/>
              </w:rPr>
              <w:t>18 maja – 17 czerwca 2018</w:t>
            </w:r>
          </w:p>
          <w:p w14:paraId="34B1EC61" w14:textId="28C61171" w:rsidR="00072B2B" w:rsidRPr="00072B2B" w:rsidRDefault="00072B2B" w:rsidP="00072B2B">
            <w:pPr>
              <w:spacing w:line="360" w:lineRule="auto"/>
              <w:jc w:val="right"/>
              <w:outlineLvl w:val="0"/>
              <w:rPr>
                <w:rFonts w:ascii="Theinhardt Regular" w:eastAsia="Calibri" w:hAnsi="Theinhardt Regular" w:cs="Times New Roman"/>
                <w:b/>
              </w:rPr>
            </w:pPr>
            <w:r w:rsidRPr="00072B2B">
              <w:rPr>
                <w:rFonts w:ascii="Theinhardt Regular" w:eastAsia="Calibri" w:hAnsi="Theinhardt Regular" w:cs="Times New Roman"/>
                <w:b/>
              </w:rPr>
              <w:t>Muzeum nad Wisłą</w:t>
            </w:r>
          </w:p>
          <w:p w14:paraId="5197EB79" w14:textId="4C316F7A" w:rsidR="00072B2B" w:rsidRPr="00072B2B" w:rsidRDefault="00072B2B" w:rsidP="00072B2B">
            <w:pPr>
              <w:spacing w:line="360" w:lineRule="auto"/>
              <w:jc w:val="right"/>
              <w:outlineLvl w:val="0"/>
              <w:rPr>
                <w:rFonts w:ascii="Theinhardt Regular" w:eastAsia="Calibri" w:hAnsi="Theinhardt Regular" w:cs="Times New Roman"/>
                <w:b/>
              </w:rPr>
            </w:pPr>
          </w:p>
          <w:p w14:paraId="615F8911" w14:textId="084AA8E3" w:rsidR="00072B2B" w:rsidRPr="00072B2B" w:rsidRDefault="00072B2B" w:rsidP="00072B2B">
            <w:pPr>
              <w:spacing w:line="360" w:lineRule="auto"/>
              <w:jc w:val="right"/>
              <w:outlineLvl w:val="0"/>
              <w:rPr>
                <w:rFonts w:ascii="Theinhardt Regular" w:eastAsia="Calibri" w:hAnsi="Theinhardt Regular" w:cs="Times New Roman"/>
                <w:b/>
              </w:rPr>
            </w:pPr>
            <w:r w:rsidRPr="00072B2B">
              <w:rPr>
                <w:rFonts w:ascii="Theinhardt Regular" w:eastAsia="Calibri" w:hAnsi="Theinhardt Regular" w:cs="Times New Roman"/>
                <w:b/>
              </w:rPr>
              <w:t>wernisaż: 18 maja, godz. 19.00</w:t>
            </w:r>
          </w:p>
        </w:tc>
      </w:tr>
    </w:tbl>
    <w:p w14:paraId="0D085C5E" w14:textId="77777777" w:rsidR="00072B2B" w:rsidRDefault="00072B2B" w:rsidP="00A27401">
      <w:pPr>
        <w:spacing w:line="360" w:lineRule="auto"/>
        <w:jc w:val="both"/>
        <w:rPr>
          <w:rFonts w:ascii="Theinhardt Regular" w:eastAsia="Calibri" w:hAnsi="Theinhardt Regular" w:cs="Times New Roman"/>
          <w:b/>
          <w:sz w:val="28"/>
          <w:szCs w:val="28"/>
        </w:rPr>
      </w:pPr>
    </w:p>
    <w:p w14:paraId="1D06A574" w14:textId="77777777" w:rsidR="00E22EF1" w:rsidRP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r w:rsidRPr="00E22EF1">
        <w:rPr>
          <w:rFonts w:ascii="Theinhardt Regular" w:eastAsia="Times New Roman" w:hAnsi="Theinhardt Regular" w:cs="Helvetica"/>
          <w:color w:val="000000"/>
          <w:szCs w:val="28"/>
          <w:lang w:eastAsia="pl-PL"/>
        </w:rPr>
        <w:t>Wystawa jest próbą reakcji na aktualne, toczące się w Polsce i na świecie dyskusje o tzw. kryzysie oświeceniowych wartości. Na ile jest on czymś nowym, samoistnym, na ile zaś trwale wpisanym w wewnętrzną dynamikę Oświecenia? Pytanie o Oświecenie jest bowiem zawsze pytaniem o „tu i teraz”: zrozumienie dzisiejszej rzeczywistości bez sięgnięcia do źródeł nowoczesności będzie zawsze niepełne. Widać to szczególnie wyraźnie w polskim kontekście, gdzie dyskusje i konflikty o formułę nowoczesności, miejsce w niej religii i tradycji, znaczenie tego co publiczne i co wspólne, pozostają od czasów króla Stanisława Augusta nierozwiązane, równocześnie napędzają myślenie o lepszej przyszłości.</w:t>
      </w:r>
    </w:p>
    <w:p w14:paraId="180A8A24" w14:textId="77777777" w:rsid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p>
    <w:p w14:paraId="2306227E" w14:textId="212B5FE5" w:rsidR="00E22EF1" w:rsidRP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r w:rsidRPr="00E22EF1">
        <w:rPr>
          <w:rFonts w:ascii="Theinhardt Regular" w:eastAsia="Times New Roman" w:hAnsi="Theinhardt Regular" w:cs="Helvetica"/>
          <w:color w:val="000000"/>
          <w:szCs w:val="28"/>
          <w:lang w:eastAsia="pl-PL"/>
        </w:rPr>
        <w:t>Z prezentowanego na wystawie dialogu wyłania się wizja Oświecenia jako epoki, w którą wpisany jest kryzys, konflikt, ale również epoki, która cały czas trwa. Nie jako fantom czy brak, lecz jako żywa rama, definiująca kształt naszej teraźniejszości. Oświecenie bowiem trwa tak długo, jak długo istnieje polityka krytycznego myślenia.</w:t>
      </w:r>
    </w:p>
    <w:p w14:paraId="42EAF787" w14:textId="77777777" w:rsid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p>
    <w:p w14:paraId="3D65FCF6" w14:textId="67625886" w:rsidR="00E22EF1" w:rsidRP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r w:rsidRPr="00E22EF1">
        <w:rPr>
          <w:rFonts w:ascii="Theinhardt Regular" w:eastAsia="Times New Roman" w:hAnsi="Theinhardt Regular" w:cs="Helvetica"/>
          <w:color w:val="000000"/>
          <w:szCs w:val="28"/>
          <w:lang w:eastAsia="pl-PL"/>
        </w:rPr>
        <w:t>Dwieście lat temu, w 1818 roku, Komisja Wyznań Religijnych i Oświecenia Publicznego zakupiła od spadkobierców króla Stanisława Augusta jego słynny Gabinet Rycin – kolekcję rycin i rysunków odzwierciedlającą modernizacyjne pasje i ambicje władcy, tworzoną również z myślą o edukacji artystycznej przyszłych pokoleń. Stanisławowski Gabinet Rycin ulokowany przy Królewskim Uniwersytecie Warszawskim i uzupełniony darem Stanisława Kostki Potockiego, stał się podstawą pierwszego publicznego zbioru grafiki i rysunku na ziemiach polskich, funkcjonując do dnia dzisiejszego jako Gabinet Rycin Biblioteki Uniwersyteckiej w Warszawie i stanowiąc jeden z mało znanych (choć przecież dostępnych publicznie) skarbów warszawskich. Wystawa „Czym jest Oświecenie?” dotyka więc tożsamości dwóch instytucji. Z jednej strony odczytuje na nowo kanon kolekcji Gabinetu Rycin BUW, z drugiej wpisuje się w prowadzony w Muzeum Sztuki Nowoczesnej w Warszawie namysł nad nowoczesnością opowiadając o samych jej początkach.</w:t>
      </w:r>
    </w:p>
    <w:p w14:paraId="2B1EA17B" w14:textId="77777777" w:rsid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p>
    <w:p w14:paraId="0CA64442" w14:textId="4B26D0A2" w:rsidR="00E22EF1" w:rsidRP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r w:rsidRPr="00E22EF1">
        <w:rPr>
          <w:rFonts w:ascii="Theinhardt Regular" w:eastAsia="Times New Roman" w:hAnsi="Theinhardt Regular" w:cs="Helvetica"/>
          <w:color w:val="000000"/>
          <w:szCs w:val="28"/>
          <w:lang w:eastAsia="pl-PL"/>
        </w:rPr>
        <w:t xml:space="preserve">Wystawa „Czym jest Oświecenie?” jest próbą odpowiedzi na pytanie: jak napisać na nowo historię polskiej nowoczesności. W tym celu koncentrujemy się na </w:t>
      </w:r>
      <w:r w:rsidRPr="00E22EF1">
        <w:rPr>
          <w:rFonts w:ascii="Theinhardt Regular" w:eastAsia="Times New Roman" w:hAnsi="Theinhardt Regular" w:cs="Helvetica"/>
          <w:color w:val="000000"/>
          <w:szCs w:val="28"/>
          <w:lang w:eastAsia="pl-PL"/>
        </w:rPr>
        <w:lastRenderedPageBreak/>
        <w:t>oświeceniowych źródłach Gabinetu Rycin. Są one tu jednak potraktowane przede wszystkim jako najgłębszy poziom, „archiwum” polskiej nowoczesności, a także jako punkt wyjścia dla refleksji nad złożoną relacją między tym, co historyczne – pozornie przynależące do odległej czasowo epoki – a tym, co „tu i teraz”, a także tym, co dopiero nadejdzie: przyszłością, która jako pewien utopijny model była tak ważnym punktem odniesienia dla oświeceniowego (i każdego modernizacyjnego) projektu. Podobnie jak oświeceniowi artyści, filozofowie i kolekcjonerzy, którzy – niczym archeolodzy – badali przeszłość, by wyciągnąć z niej wnioski i lekcje, kreować wizje i proroctwa dla przyszłości, również w wypadku wystawy mamy do czynienia z próbą odczytania przez artystów współczesnych, w często złożonych obrazach i znakach tamtej epoki, aktualnych sytuacji i drogowskazów dla współczesnego świata. Wynik tego dialogu przeszłości z teraźniejszością nie uwypukla różnicy, lecz pokazuje ich wspólną oświeceniową tożsamość. Kolekcja Gabinetu Rycin odczytywana jest, między innymi, w perspektywie konfliktu historii uniwersalnej opartej o prawa człowieka i demokrację z historią partykularną, napięcia między wiedzą a jej imitacją, a także w kontekście genezy współczesnego liberalizmu, walki o emancypację, wreszcie genezy „polskiej wojny domowej”, która definiuje kształt polskiej sfery publicznej od ponad 200 lat. Oświecenie traktujemy jako ważny punkt odniesienia dla opowiadania o transformacji ustrojowej ostatnich 30 lat.</w:t>
      </w:r>
    </w:p>
    <w:p w14:paraId="3098FD0B" w14:textId="77777777" w:rsid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p>
    <w:p w14:paraId="6195581D" w14:textId="5125C23A" w:rsidR="00E22EF1" w:rsidRPr="00E22EF1" w:rsidRDefault="00E22EF1" w:rsidP="00E22EF1">
      <w:pPr>
        <w:shd w:val="clear" w:color="auto" w:fill="FFFFFF"/>
        <w:jc w:val="both"/>
        <w:textAlignment w:val="baseline"/>
        <w:rPr>
          <w:rFonts w:ascii="Theinhardt Regular" w:eastAsia="Times New Roman" w:hAnsi="Theinhardt Regular" w:cs="Helvetica"/>
          <w:color w:val="000000"/>
          <w:szCs w:val="28"/>
          <w:lang w:eastAsia="pl-PL"/>
        </w:rPr>
      </w:pPr>
      <w:r w:rsidRPr="00E22EF1">
        <w:rPr>
          <w:rFonts w:ascii="Theinhardt Regular" w:eastAsia="Times New Roman" w:hAnsi="Theinhardt Regular" w:cs="Helvetica"/>
          <w:color w:val="000000"/>
          <w:szCs w:val="28"/>
          <w:lang w:eastAsia="pl-PL"/>
        </w:rPr>
        <w:t xml:space="preserve">Szczególna rola przypada tu </w:t>
      </w:r>
      <w:proofErr w:type="spellStart"/>
      <w:r w:rsidRPr="00E22EF1">
        <w:rPr>
          <w:rFonts w:ascii="Theinhardt Regular" w:eastAsia="Times New Roman" w:hAnsi="Theinhardt Regular" w:cs="Helvetica"/>
          <w:color w:val="000000"/>
          <w:szCs w:val="28"/>
          <w:lang w:eastAsia="pl-PL"/>
        </w:rPr>
        <w:t>Goshce</w:t>
      </w:r>
      <w:proofErr w:type="spellEnd"/>
      <w:r w:rsidRPr="00E22EF1">
        <w:rPr>
          <w:rFonts w:ascii="Theinhardt Regular" w:eastAsia="Times New Roman" w:hAnsi="Theinhardt Regular" w:cs="Helvetica"/>
          <w:color w:val="000000"/>
          <w:szCs w:val="28"/>
          <w:lang w:eastAsia="pl-PL"/>
        </w:rPr>
        <w:t xml:space="preserve"> </w:t>
      </w:r>
      <w:proofErr w:type="spellStart"/>
      <w:r w:rsidRPr="00E22EF1">
        <w:rPr>
          <w:rFonts w:ascii="Theinhardt Regular" w:eastAsia="Times New Roman" w:hAnsi="Theinhardt Regular" w:cs="Helvetica"/>
          <w:color w:val="000000"/>
          <w:szCs w:val="28"/>
          <w:lang w:eastAsia="pl-PL"/>
        </w:rPr>
        <w:t>Macudze</w:t>
      </w:r>
      <w:proofErr w:type="spellEnd"/>
      <w:r w:rsidRPr="00E22EF1">
        <w:rPr>
          <w:rFonts w:ascii="Theinhardt Regular" w:eastAsia="Times New Roman" w:hAnsi="Theinhardt Regular" w:cs="Helvetica"/>
          <w:color w:val="000000"/>
          <w:szCs w:val="28"/>
          <w:lang w:eastAsia="pl-PL"/>
        </w:rPr>
        <w:t xml:space="preserve">, polsko-brytyjskiej artystce nominowanej w 2008 roku do prestiżowej Turner </w:t>
      </w:r>
      <w:proofErr w:type="spellStart"/>
      <w:r w:rsidRPr="00E22EF1">
        <w:rPr>
          <w:rFonts w:ascii="Theinhardt Regular" w:eastAsia="Times New Roman" w:hAnsi="Theinhardt Regular" w:cs="Helvetica"/>
          <w:color w:val="000000"/>
          <w:szCs w:val="28"/>
          <w:lang w:eastAsia="pl-PL"/>
        </w:rPr>
        <w:t>Prize</w:t>
      </w:r>
      <w:proofErr w:type="spellEnd"/>
      <w:r w:rsidRPr="00E22EF1">
        <w:rPr>
          <w:rFonts w:ascii="Theinhardt Regular" w:eastAsia="Times New Roman" w:hAnsi="Theinhardt Regular" w:cs="Helvetica"/>
          <w:color w:val="000000"/>
          <w:szCs w:val="28"/>
          <w:lang w:eastAsia="pl-PL"/>
        </w:rPr>
        <w:t xml:space="preserve">. </w:t>
      </w:r>
      <w:proofErr w:type="spellStart"/>
      <w:r w:rsidRPr="00E22EF1">
        <w:rPr>
          <w:rFonts w:ascii="Theinhardt Regular" w:eastAsia="Times New Roman" w:hAnsi="Theinhardt Regular" w:cs="Helvetica"/>
          <w:color w:val="000000"/>
          <w:szCs w:val="28"/>
          <w:lang w:eastAsia="pl-PL"/>
        </w:rPr>
        <w:t>Macuga</w:t>
      </w:r>
      <w:proofErr w:type="spellEnd"/>
      <w:r w:rsidRPr="00E22EF1">
        <w:rPr>
          <w:rFonts w:ascii="Theinhardt Regular" w:eastAsia="Times New Roman" w:hAnsi="Theinhardt Regular" w:cs="Helvetica"/>
          <w:color w:val="000000"/>
          <w:szCs w:val="28"/>
          <w:lang w:eastAsia="pl-PL"/>
        </w:rPr>
        <w:t xml:space="preserve"> powraca w tym kontekście do tematów losów sztuki w </w:t>
      </w:r>
      <w:proofErr w:type="spellStart"/>
      <w:r w:rsidRPr="00E22EF1">
        <w:rPr>
          <w:rFonts w:ascii="Theinhardt Regular" w:eastAsia="Times New Roman" w:hAnsi="Theinhardt Regular" w:cs="Helvetica"/>
          <w:color w:val="000000"/>
          <w:szCs w:val="28"/>
          <w:lang w:eastAsia="pl-PL"/>
        </w:rPr>
        <w:t>postransformacyjnej</w:t>
      </w:r>
      <w:proofErr w:type="spellEnd"/>
      <w:r w:rsidRPr="00E22EF1">
        <w:rPr>
          <w:rFonts w:ascii="Theinhardt Regular" w:eastAsia="Times New Roman" w:hAnsi="Theinhardt Regular" w:cs="Helvetica"/>
          <w:color w:val="000000"/>
          <w:szCs w:val="28"/>
          <w:lang w:eastAsia="pl-PL"/>
        </w:rPr>
        <w:t xml:space="preserve"> Polsce i polityczności rysunku – ten pierwszy eksplorowała na swej indywidualnej wystawie w Zachęcie w 2011 roku. Jej spojrzenie na kolekcję i dziedzictwo Oświecenia przesycone jest </w:t>
      </w:r>
      <w:proofErr w:type="spellStart"/>
      <w:r w:rsidRPr="00E22EF1">
        <w:rPr>
          <w:rFonts w:ascii="Theinhardt Regular" w:eastAsia="Times New Roman" w:hAnsi="Theinhardt Regular" w:cs="Helvetica"/>
          <w:color w:val="000000"/>
          <w:szCs w:val="28"/>
          <w:lang w:eastAsia="pl-PL"/>
        </w:rPr>
        <w:t>posthumanistyczną</w:t>
      </w:r>
      <w:proofErr w:type="spellEnd"/>
      <w:r w:rsidRPr="00E22EF1">
        <w:rPr>
          <w:rFonts w:ascii="Theinhardt Regular" w:eastAsia="Times New Roman" w:hAnsi="Theinhardt Regular" w:cs="Helvetica"/>
          <w:color w:val="000000"/>
          <w:szCs w:val="28"/>
          <w:lang w:eastAsia="pl-PL"/>
        </w:rPr>
        <w:t xml:space="preserve"> perspektywą i tworzy swoisty komentarz do całej ekspozycji. W tym spojrzeniu z przyszłości Wiek Świateł i nasze „tu i teraz” zlewają się ze sobą, tworząc jedną epokę.</w:t>
      </w:r>
    </w:p>
    <w:p w14:paraId="4D22FAD9" w14:textId="77777777" w:rsidR="0074018B" w:rsidRDefault="0074018B" w:rsidP="00072B2B">
      <w:pPr>
        <w:jc w:val="both"/>
        <w:rPr>
          <w:rFonts w:ascii="Theinhardt Regular" w:eastAsia="Calibri" w:hAnsi="Theinhardt Regular" w:cs="Times New Roman"/>
          <w:b/>
        </w:rPr>
      </w:pPr>
    </w:p>
    <w:p w14:paraId="116F45AE" w14:textId="5580E6CC" w:rsidR="00072B2B" w:rsidRPr="0074018B" w:rsidRDefault="00072B2B" w:rsidP="00072B2B">
      <w:pPr>
        <w:jc w:val="both"/>
        <w:rPr>
          <w:rFonts w:ascii="Theinhardt Regular" w:hAnsi="Theinhardt Regular" w:cs="Times New Roman"/>
          <w:shd w:val="clear" w:color="auto" w:fill="FFFFFF"/>
        </w:rPr>
      </w:pPr>
      <w:r w:rsidRPr="0074018B">
        <w:rPr>
          <w:rFonts w:ascii="Theinhardt Regular" w:hAnsi="Theinhardt Regular" w:cs="Times New Roman"/>
          <w:shd w:val="clear" w:color="auto" w:fill="FFFFFF"/>
        </w:rPr>
        <w:t xml:space="preserve">Artyści: </w:t>
      </w:r>
    </w:p>
    <w:p w14:paraId="3A0E16CE" w14:textId="205A36A2" w:rsidR="00F75262" w:rsidRDefault="00E22EF1">
      <w:pPr>
        <w:rPr>
          <w:rFonts w:ascii="Theinhardt Regular" w:hAnsi="Theinhardt Regular" w:cs="Helvetica"/>
          <w:color w:val="000000"/>
          <w:shd w:val="clear" w:color="auto" w:fill="FFFFFF"/>
        </w:rPr>
      </w:pPr>
      <w:r w:rsidRPr="00E22EF1">
        <w:rPr>
          <w:rFonts w:ascii="Theinhardt Regular" w:hAnsi="Theinhardt Regular" w:cs="Helvetica"/>
          <w:color w:val="000000"/>
          <w:shd w:val="clear" w:color="auto" w:fill="FFFFFF"/>
        </w:rPr>
        <w:t xml:space="preserve">Anna </w:t>
      </w:r>
      <w:proofErr w:type="spellStart"/>
      <w:r w:rsidRPr="00E22EF1">
        <w:rPr>
          <w:rFonts w:ascii="Theinhardt Regular" w:hAnsi="Theinhardt Regular" w:cs="Helvetica"/>
          <w:color w:val="000000"/>
          <w:shd w:val="clear" w:color="auto" w:fill="FFFFFF"/>
        </w:rPr>
        <w:t>Boghiguian</w:t>
      </w:r>
      <w:proofErr w:type="spellEnd"/>
      <w:r w:rsidRPr="00E22EF1">
        <w:rPr>
          <w:rFonts w:ascii="Theinhardt Regular" w:hAnsi="Theinhardt Regular" w:cs="Helvetica"/>
          <w:color w:val="000000"/>
          <w:shd w:val="clear" w:color="auto" w:fill="FFFFFF"/>
        </w:rPr>
        <w:t xml:space="preserve">, Andrea </w:t>
      </w:r>
      <w:proofErr w:type="spellStart"/>
      <w:r w:rsidRPr="00E22EF1">
        <w:rPr>
          <w:rFonts w:ascii="Theinhardt Regular" w:hAnsi="Theinhardt Regular" w:cs="Helvetica"/>
          <w:color w:val="000000"/>
          <w:shd w:val="clear" w:color="auto" w:fill="FFFFFF"/>
        </w:rPr>
        <w:t>Bowers</w:t>
      </w:r>
      <w:proofErr w:type="spellEnd"/>
      <w:r w:rsidRPr="00E22EF1">
        <w:rPr>
          <w:rFonts w:ascii="Theinhardt Regular" w:hAnsi="Theinhardt Regular" w:cs="Helvetica"/>
          <w:color w:val="000000"/>
          <w:shd w:val="clear" w:color="auto" w:fill="FFFFFF"/>
        </w:rPr>
        <w:t xml:space="preserve">, Vincenzo Brenna, Pablo </w:t>
      </w:r>
      <w:proofErr w:type="spellStart"/>
      <w:r w:rsidRPr="00E22EF1">
        <w:rPr>
          <w:rFonts w:ascii="Theinhardt Regular" w:hAnsi="Theinhardt Regular" w:cs="Helvetica"/>
          <w:color w:val="000000"/>
          <w:shd w:val="clear" w:color="auto" w:fill="FFFFFF"/>
        </w:rPr>
        <w:t>Bronstein</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Augustin</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Brunais</w:t>
      </w:r>
      <w:proofErr w:type="spellEnd"/>
      <w:r w:rsidRPr="00E22EF1">
        <w:rPr>
          <w:rFonts w:ascii="Theinhardt Regular" w:hAnsi="Theinhardt Regular" w:cs="Helvetica"/>
          <w:color w:val="000000"/>
          <w:shd w:val="clear" w:color="auto" w:fill="FFFFFF"/>
        </w:rPr>
        <w:t xml:space="preserve">, Jacques </w:t>
      </w:r>
      <w:proofErr w:type="spellStart"/>
      <w:r w:rsidRPr="00E22EF1">
        <w:rPr>
          <w:rFonts w:ascii="Theinhardt Regular" w:hAnsi="Theinhardt Regular" w:cs="Helvetica"/>
          <w:color w:val="000000"/>
          <w:shd w:val="clear" w:color="auto" w:fill="FFFFFF"/>
        </w:rPr>
        <w:t>Callot</w:t>
      </w:r>
      <w:proofErr w:type="spellEnd"/>
      <w:r w:rsidRPr="00E22EF1">
        <w:rPr>
          <w:rFonts w:ascii="Theinhardt Regular" w:hAnsi="Theinhardt Regular" w:cs="Helvetica"/>
          <w:color w:val="000000"/>
          <w:shd w:val="clear" w:color="auto" w:fill="FFFFFF"/>
        </w:rPr>
        <w:t xml:space="preserve">, Olga </w:t>
      </w:r>
      <w:proofErr w:type="spellStart"/>
      <w:r w:rsidRPr="00E22EF1">
        <w:rPr>
          <w:rFonts w:ascii="Theinhardt Regular" w:hAnsi="Theinhardt Regular" w:cs="Helvetica"/>
          <w:color w:val="000000"/>
          <w:shd w:val="clear" w:color="auto" w:fill="FFFFFF"/>
        </w:rPr>
        <w:t>Czernyszewa</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Matthaeus</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Deisch</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Camille</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Henrot</w:t>
      </w:r>
      <w:proofErr w:type="spellEnd"/>
      <w:r w:rsidRPr="00E22EF1">
        <w:rPr>
          <w:rFonts w:ascii="Theinhardt Regular" w:hAnsi="Theinhardt Regular" w:cs="Helvetica"/>
          <w:color w:val="000000"/>
          <w:shd w:val="clear" w:color="auto" w:fill="FFFFFF"/>
        </w:rPr>
        <w:t xml:space="preserve">, William </w:t>
      </w:r>
      <w:proofErr w:type="spellStart"/>
      <w:r w:rsidRPr="00E22EF1">
        <w:rPr>
          <w:rFonts w:ascii="Theinhardt Regular" w:hAnsi="Theinhardt Regular" w:cs="Helvetica"/>
          <w:color w:val="000000"/>
          <w:shd w:val="clear" w:color="auto" w:fill="FFFFFF"/>
        </w:rPr>
        <w:t>Hogarth</w:t>
      </w:r>
      <w:proofErr w:type="spellEnd"/>
      <w:r w:rsidRPr="00E22EF1">
        <w:rPr>
          <w:rFonts w:ascii="Theinhardt Regular" w:hAnsi="Theinhardt Regular" w:cs="Helvetica"/>
          <w:color w:val="000000"/>
          <w:shd w:val="clear" w:color="auto" w:fill="FFFFFF"/>
        </w:rPr>
        <w:t xml:space="preserve">, Ewa Juszkiewicz, Nikita Kadan, Jan Chrystian </w:t>
      </w:r>
      <w:proofErr w:type="spellStart"/>
      <w:r w:rsidRPr="00E22EF1">
        <w:rPr>
          <w:rFonts w:ascii="Theinhardt Regular" w:hAnsi="Theinhardt Regular" w:cs="Helvetica"/>
          <w:color w:val="000000"/>
          <w:shd w:val="clear" w:color="auto" w:fill="FFFFFF"/>
        </w:rPr>
        <w:t>Kamsetzer</w:t>
      </w:r>
      <w:proofErr w:type="spellEnd"/>
      <w:r w:rsidRPr="00E22EF1">
        <w:rPr>
          <w:rFonts w:ascii="Theinhardt Regular" w:hAnsi="Theinhardt Regular" w:cs="Helvetica"/>
          <w:color w:val="000000"/>
          <w:shd w:val="clear" w:color="auto" w:fill="FFFFFF"/>
        </w:rPr>
        <w:t xml:space="preserve">, Tadeusz Kościuszko, Jakub Kubicki, Zbigniew Libera, Emanuel </w:t>
      </w:r>
      <w:proofErr w:type="spellStart"/>
      <w:r w:rsidRPr="00E22EF1">
        <w:rPr>
          <w:rFonts w:ascii="Theinhardt Regular" w:hAnsi="Theinhardt Regular" w:cs="Helvetica"/>
          <w:color w:val="000000"/>
          <w:shd w:val="clear" w:color="auto" w:fill="FFFFFF"/>
        </w:rPr>
        <w:t>Listnau</w:t>
      </w:r>
      <w:proofErr w:type="spellEnd"/>
      <w:r w:rsidRPr="00E22EF1">
        <w:rPr>
          <w:rFonts w:ascii="Theinhardt Regular" w:hAnsi="Theinhardt Regular" w:cs="Helvetica"/>
          <w:color w:val="000000"/>
          <w:shd w:val="clear" w:color="auto" w:fill="FFFFFF"/>
        </w:rPr>
        <w:t xml:space="preserve">, Friedrich Anton August </w:t>
      </w:r>
      <w:proofErr w:type="spellStart"/>
      <w:r w:rsidRPr="00E22EF1">
        <w:rPr>
          <w:rFonts w:ascii="Theinhardt Regular" w:hAnsi="Theinhardt Regular" w:cs="Helvetica"/>
          <w:color w:val="000000"/>
          <w:shd w:val="clear" w:color="auto" w:fill="FFFFFF"/>
        </w:rPr>
        <w:t>Lohrmann</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Goshka</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Macuga</w:t>
      </w:r>
      <w:proofErr w:type="spellEnd"/>
      <w:r w:rsidRPr="00E22EF1">
        <w:rPr>
          <w:rFonts w:ascii="Theinhardt Regular" w:hAnsi="Theinhardt Regular" w:cs="Helvetica"/>
          <w:color w:val="000000"/>
          <w:shd w:val="clear" w:color="auto" w:fill="FFFFFF"/>
        </w:rPr>
        <w:t xml:space="preserve">, Dominik Merlini, Johann Heinrich </w:t>
      </w:r>
      <w:proofErr w:type="spellStart"/>
      <w:r w:rsidRPr="00E22EF1">
        <w:rPr>
          <w:rFonts w:ascii="Theinhardt Regular" w:hAnsi="Theinhardt Regular" w:cs="Helvetica"/>
          <w:color w:val="000000"/>
          <w:shd w:val="clear" w:color="auto" w:fill="FFFFFF"/>
        </w:rPr>
        <w:t>Müntz</w:t>
      </w:r>
      <w:proofErr w:type="spellEnd"/>
      <w:r w:rsidRPr="00E22EF1">
        <w:rPr>
          <w:rFonts w:ascii="Theinhardt Regular" w:hAnsi="Theinhardt Regular" w:cs="Helvetica"/>
          <w:color w:val="000000"/>
          <w:shd w:val="clear" w:color="auto" w:fill="FFFFFF"/>
        </w:rPr>
        <w:t xml:space="preserve">, Anna </w:t>
      </w:r>
      <w:proofErr w:type="spellStart"/>
      <w:r w:rsidRPr="00E22EF1">
        <w:rPr>
          <w:rFonts w:ascii="Theinhardt Regular" w:hAnsi="Theinhardt Regular" w:cs="Helvetica"/>
          <w:color w:val="000000"/>
          <w:shd w:val="clear" w:color="auto" w:fill="FFFFFF"/>
        </w:rPr>
        <w:t>Niesterowicz</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Nomadic</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State</w:t>
      </w:r>
      <w:proofErr w:type="spellEnd"/>
      <w:r w:rsidRPr="00E22EF1">
        <w:rPr>
          <w:rFonts w:ascii="Theinhardt Regular" w:hAnsi="Theinhardt Regular" w:cs="Helvetica"/>
          <w:color w:val="000000"/>
          <w:shd w:val="clear" w:color="auto" w:fill="FFFFFF"/>
        </w:rPr>
        <w:t xml:space="preserve"> (Karolina </w:t>
      </w:r>
      <w:proofErr w:type="spellStart"/>
      <w:r w:rsidRPr="00E22EF1">
        <w:rPr>
          <w:rFonts w:ascii="Theinhardt Regular" w:hAnsi="Theinhardt Regular" w:cs="Helvetica"/>
          <w:color w:val="000000"/>
          <w:shd w:val="clear" w:color="auto" w:fill="FFFFFF"/>
        </w:rPr>
        <w:t>Mełnicka</w:t>
      </w:r>
      <w:proofErr w:type="spellEnd"/>
      <w:r w:rsidRPr="00E22EF1">
        <w:rPr>
          <w:rFonts w:ascii="Theinhardt Regular" w:hAnsi="Theinhardt Regular" w:cs="Helvetica"/>
          <w:color w:val="000000"/>
          <w:shd w:val="clear" w:color="auto" w:fill="FFFFFF"/>
        </w:rPr>
        <w:t xml:space="preserve">, Stach Szumski), Jan Piotr Norblin, Ferdynand </w:t>
      </w:r>
      <w:proofErr w:type="spellStart"/>
      <w:r w:rsidRPr="00E22EF1">
        <w:rPr>
          <w:rFonts w:ascii="Theinhardt Regular" w:hAnsi="Theinhardt Regular" w:cs="Helvetica"/>
          <w:color w:val="000000"/>
          <w:shd w:val="clear" w:color="auto" w:fill="FFFFFF"/>
        </w:rPr>
        <w:t>Pinck</w:t>
      </w:r>
      <w:proofErr w:type="spellEnd"/>
      <w:r w:rsidRPr="00E22EF1">
        <w:rPr>
          <w:rFonts w:ascii="Theinhardt Regular" w:hAnsi="Theinhardt Regular" w:cs="Helvetica"/>
          <w:color w:val="000000"/>
          <w:shd w:val="clear" w:color="auto" w:fill="FFFFFF"/>
        </w:rPr>
        <w:t xml:space="preserve">, Giovanni Battista </w:t>
      </w:r>
      <w:proofErr w:type="spellStart"/>
      <w:r w:rsidRPr="00E22EF1">
        <w:rPr>
          <w:rFonts w:ascii="Theinhardt Regular" w:hAnsi="Theinhardt Regular" w:cs="Helvetica"/>
          <w:color w:val="000000"/>
          <w:shd w:val="clear" w:color="auto" w:fill="FFFFFF"/>
        </w:rPr>
        <w:t>Piranesi</w:t>
      </w:r>
      <w:proofErr w:type="spellEnd"/>
      <w:r w:rsidRPr="00E22EF1">
        <w:rPr>
          <w:rFonts w:ascii="Theinhardt Regular" w:hAnsi="Theinhardt Regular" w:cs="Helvetica"/>
          <w:color w:val="000000"/>
          <w:shd w:val="clear" w:color="auto" w:fill="FFFFFF"/>
        </w:rPr>
        <w:t xml:space="preserve">, Jean-Louis </w:t>
      </w:r>
      <w:proofErr w:type="spellStart"/>
      <w:r w:rsidRPr="00E22EF1">
        <w:rPr>
          <w:rFonts w:ascii="Theinhardt Regular" w:hAnsi="Theinhardt Regular" w:cs="Helvetica"/>
          <w:color w:val="000000"/>
          <w:shd w:val="clear" w:color="auto" w:fill="FFFFFF"/>
        </w:rPr>
        <w:t>Prieur</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Roee</w:t>
      </w:r>
      <w:proofErr w:type="spellEnd"/>
      <w:r w:rsidRPr="00E22EF1">
        <w:rPr>
          <w:rFonts w:ascii="Theinhardt Regular" w:hAnsi="Theinhardt Regular" w:cs="Helvetica"/>
          <w:color w:val="000000"/>
          <w:shd w:val="clear" w:color="auto" w:fill="FFFFFF"/>
        </w:rPr>
        <w:t xml:space="preserve"> </w:t>
      </w:r>
      <w:proofErr w:type="spellStart"/>
      <w:r w:rsidRPr="00E22EF1">
        <w:rPr>
          <w:rFonts w:ascii="Theinhardt Regular" w:hAnsi="Theinhardt Regular" w:cs="Helvetica"/>
          <w:color w:val="000000"/>
          <w:shd w:val="clear" w:color="auto" w:fill="FFFFFF"/>
        </w:rPr>
        <w:t>Rosen</w:t>
      </w:r>
      <w:proofErr w:type="spellEnd"/>
      <w:r w:rsidRPr="00E22EF1">
        <w:rPr>
          <w:rFonts w:ascii="Theinhardt Regular" w:hAnsi="Theinhardt Regular" w:cs="Helvetica"/>
          <w:color w:val="000000"/>
          <w:shd w:val="clear" w:color="auto" w:fill="FFFFFF"/>
        </w:rPr>
        <w:t xml:space="preserve">, Efraim </w:t>
      </w:r>
      <w:proofErr w:type="spellStart"/>
      <w:r w:rsidRPr="00E22EF1">
        <w:rPr>
          <w:rFonts w:ascii="Theinhardt Regular" w:hAnsi="Theinhardt Regular" w:cs="Helvetica"/>
          <w:color w:val="000000"/>
          <w:shd w:val="clear" w:color="auto" w:fill="FFFFFF"/>
        </w:rPr>
        <w:t>Shroeger</w:t>
      </w:r>
      <w:proofErr w:type="spellEnd"/>
      <w:r w:rsidRPr="00E22EF1">
        <w:rPr>
          <w:rFonts w:ascii="Theinhardt Regular" w:hAnsi="Theinhardt Regular" w:cs="Helvetica"/>
          <w:color w:val="000000"/>
          <w:shd w:val="clear" w:color="auto" w:fill="FFFFFF"/>
        </w:rPr>
        <w:t>, Franciszek Smuglewicz, Mikołaj Sobczak, Józef Wall, Stanisław Zawadzki, Szymon Bogumił Zug</w:t>
      </w:r>
    </w:p>
    <w:p w14:paraId="3FEE9C00" w14:textId="3FE379DA" w:rsidR="006F2C71" w:rsidRDefault="006F2C71">
      <w:pPr>
        <w:rPr>
          <w:rFonts w:ascii="Theinhardt Regular" w:hAnsi="Theinhardt Regular" w:cs="Helvetica"/>
          <w:color w:val="000000"/>
          <w:shd w:val="clear" w:color="auto" w:fill="FFFFFF"/>
        </w:rPr>
      </w:pPr>
    </w:p>
    <w:p w14:paraId="14C66F79" w14:textId="32C2A742" w:rsidR="006F2C71" w:rsidRDefault="006F2C71" w:rsidP="006F2C71">
      <w:pPr>
        <w:shd w:val="clear" w:color="auto" w:fill="FFFFFF"/>
        <w:spacing w:after="150"/>
        <w:jc w:val="both"/>
        <w:textAlignment w:val="baseline"/>
        <w:outlineLvl w:val="3"/>
        <w:rPr>
          <w:rFonts w:ascii="Theinhardt Regular" w:eastAsia="Times New Roman" w:hAnsi="Theinhardt Regular" w:cs="Helvetica"/>
          <w:bCs/>
          <w:color w:val="000000"/>
          <w:lang w:eastAsia="pl-PL"/>
        </w:rPr>
      </w:pPr>
      <w:r w:rsidRPr="006F2C71">
        <w:rPr>
          <w:rFonts w:ascii="Theinhardt Regular" w:eastAsia="Times New Roman" w:hAnsi="Theinhardt Regular" w:cs="Helvetica"/>
          <w:bCs/>
          <w:color w:val="000000"/>
          <w:lang w:eastAsia="pl-PL"/>
        </w:rPr>
        <w:t>Wystawa przygotowana została przez Muzeum Sztuki Nowoczesnej w Warszawie oraz Bibliotekę Uniwersytecką w Warszawie. Projekt współfinansuje M. st. Warszawa.</w:t>
      </w:r>
    </w:p>
    <w:p w14:paraId="709756C1" w14:textId="78E82AC3" w:rsidR="0074018B" w:rsidRDefault="0074018B" w:rsidP="006F2C71">
      <w:pPr>
        <w:shd w:val="clear" w:color="auto" w:fill="FFFFFF"/>
        <w:spacing w:after="150"/>
        <w:jc w:val="both"/>
        <w:textAlignment w:val="baseline"/>
        <w:outlineLvl w:val="3"/>
        <w:rPr>
          <w:rFonts w:ascii="Theinhardt Regular" w:eastAsia="Times New Roman" w:hAnsi="Theinhardt Regular" w:cs="Helvetica"/>
          <w:bCs/>
          <w:color w:val="000000"/>
          <w:lang w:eastAsia="pl-PL"/>
        </w:rPr>
      </w:pPr>
    </w:p>
    <w:p w14:paraId="1F6D2A5B" w14:textId="77777777" w:rsidR="0074018B" w:rsidRDefault="0074018B" w:rsidP="0074018B">
      <w:pPr>
        <w:pStyle w:val="Nagwek3"/>
        <w:shd w:val="clear" w:color="auto" w:fill="FFFFFF"/>
        <w:spacing w:before="0" w:line="300" w:lineRule="atLeast"/>
        <w:textAlignment w:val="baseline"/>
        <w:rPr>
          <w:rFonts w:ascii="Theinhardt Regular" w:hAnsi="Theinhardt Regular" w:cs="Helvetica"/>
          <w:b/>
          <w:bCs/>
          <w:color w:val="000000"/>
          <w:sz w:val="20"/>
        </w:rPr>
      </w:pPr>
    </w:p>
    <w:p w14:paraId="5109B025" w14:textId="77777777" w:rsidR="00314753" w:rsidRDefault="00314753" w:rsidP="0074018B">
      <w:pPr>
        <w:pStyle w:val="Nagwek3"/>
        <w:shd w:val="clear" w:color="auto" w:fill="FFFFFF"/>
        <w:spacing w:before="0" w:line="300" w:lineRule="atLeast"/>
        <w:textAlignment w:val="baseline"/>
        <w:rPr>
          <w:rFonts w:ascii="Theinhardt Regular" w:hAnsi="Theinhardt Regular" w:cs="Helvetica"/>
          <w:b/>
          <w:bCs/>
          <w:color w:val="000000"/>
          <w:sz w:val="20"/>
        </w:rPr>
      </w:pPr>
    </w:p>
    <w:p w14:paraId="1F73FE93" w14:textId="4B09C64F"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Zespół kuratorski</w:t>
      </w:r>
    </w:p>
    <w:p w14:paraId="3FFA2272"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proofErr w:type="spellStart"/>
      <w:r w:rsidRPr="0074018B">
        <w:rPr>
          <w:rFonts w:ascii="Theinhardt Regular" w:hAnsi="Theinhardt Regular" w:cs="Helvetica"/>
          <w:color w:val="000000"/>
          <w:sz w:val="20"/>
        </w:rPr>
        <w:t>Goshka</w:t>
      </w:r>
      <w:proofErr w:type="spellEnd"/>
      <w:r w:rsidRPr="0074018B">
        <w:rPr>
          <w:rFonts w:ascii="Theinhardt Regular" w:hAnsi="Theinhardt Regular" w:cs="Helvetica"/>
          <w:color w:val="000000"/>
          <w:sz w:val="20"/>
        </w:rPr>
        <w:t xml:space="preserve"> </w:t>
      </w:r>
      <w:proofErr w:type="spellStart"/>
      <w:r w:rsidRPr="0074018B">
        <w:rPr>
          <w:rFonts w:ascii="Theinhardt Regular" w:hAnsi="Theinhardt Regular" w:cs="Helvetica"/>
          <w:color w:val="000000"/>
          <w:sz w:val="20"/>
        </w:rPr>
        <w:t>Macuga</w:t>
      </w:r>
      <w:proofErr w:type="spellEnd"/>
      <w:r w:rsidRPr="0074018B">
        <w:rPr>
          <w:rFonts w:ascii="Theinhardt Regular" w:hAnsi="Theinhardt Regular" w:cs="Helvetica"/>
          <w:color w:val="000000"/>
          <w:sz w:val="20"/>
        </w:rPr>
        <w:t xml:space="preserve">, Łukasz </w:t>
      </w:r>
      <w:proofErr w:type="spellStart"/>
      <w:r w:rsidRPr="0074018B">
        <w:rPr>
          <w:rFonts w:ascii="Theinhardt Regular" w:hAnsi="Theinhardt Regular" w:cs="Helvetica"/>
          <w:color w:val="000000"/>
          <w:sz w:val="20"/>
        </w:rPr>
        <w:t>Ronduda</w:t>
      </w:r>
      <w:proofErr w:type="spellEnd"/>
      <w:r w:rsidRPr="0074018B">
        <w:rPr>
          <w:rFonts w:ascii="Theinhardt Regular" w:hAnsi="Theinhardt Regular" w:cs="Helvetica"/>
          <w:color w:val="000000"/>
          <w:sz w:val="20"/>
        </w:rPr>
        <w:t>, Tomasz Szerszeń</w:t>
      </w:r>
    </w:p>
    <w:p w14:paraId="7A084F78"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Konsultacje merytoryczne</w:t>
      </w:r>
    </w:p>
    <w:p w14:paraId="2BDDA98D"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 xml:space="preserve">Małgorzata </w:t>
      </w:r>
      <w:proofErr w:type="spellStart"/>
      <w:r w:rsidRPr="0074018B">
        <w:rPr>
          <w:rFonts w:ascii="Theinhardt Regular" w:hAnsi="Theinhardt Regular" w:cs="Helvetica"/>
          <w:color w:val="000000"/>
          <w:sz w:val="20"/>
        </w:rPr>
        <w:t>Biłozór</w:t>
      </w:r>
      <w:proofErr w:type="spellEnd"/>
      <w:r w:rsidRPr="0074018B">
        <w:rPr>
          <w:rFonts w:ascii="Theinhardt Regular" w:hAnsi="Theinhardt Regular" w:cs="Helvetica"/>
          <w:color w:val="000000"/>
          <w:sz w:val="20"/>
        </w:rPr>
        <w:t xml:space="preserve">-Salwa, Małgorzata Łazicka, Izabela </w:t>
      </w:r>
      <w:proofErr w:type="spellStart"/>
      <w:r w:rsidRPr="0074018B">
        <w:rPr>
          <w:rFonts w:ascii="Theinhardt Regular" w:hAnsi="Theinhardt Regular" w:cs="Helvetica"/>
          <w:color w:val="000000"/>
          <w:sz w:val="20"/>
        </w:rPr>
        <w:t>Przepałkowska</w:t>
      </w:r>
      <w:proofErr w:type="spellEnd"/>
      <w:r w:rsidRPr="0074018B">
        <w:rPr>
          <w:rFonts w:ascii="Theinhardt Regular" w:hAnsi="Theinhardt Regular" w:cs="Helvetica"/>
          <w:color w:val="000000"/>
          <w:sz w:val="20"/>
        </w:rPr>
        <w:t xml:space="preserve">, Jolanta </w:t>
      </w:r>
      <w:proofErr w:type="spellStart"/>
      <w:r w:rsidRPr="0074018B">
        <w:rPr>
          <w:rFonts w:ascii="Theinhardt Regular" w:hAnsi="Theinhardt Regular" w:cs="Helvetica"/>
          <w:color w:val="000000"/>
          <w:sz w:val="20"/>
        </w:rPr>
        <w:t>Talbierska</w:t>
      </w:r>
      <w:proofErr w:type="spellEnd"/>
      <w:r w:rsidRPr="0074018B">
        <w:rPr>
          <w:rFonts w:ascii="Theinhardt Regular" w:hAnsi="Theinhardt Regular" w:cs="Helvetica"/>
          <w:color w:val="000000"/>
          <w:sz w:val="20"/>
        </w:rPr>
        <w:t>, Przemysław Wątroba</w:t>
      </w:r>
    </w:p>
    <w:p w14:paraId="71BE62E8"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Produkcja</w:t>
      </w:r>
    </w:p>
    <w:p w14:paraId="2FE55292"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Urszula Dragońska, Agnieszka Kościelniak-Osiak, Joanna Turek, Szymon Żydek</w:t>
      </w:r>
    </w:p>
    <w:p w14:paraId="0B9D8149"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Projekt architektoniczny</w:t>
      </w:r>
    </w:p>
    <w:p w14:paraId="3475839E"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Pracownia Macieja Siudy: Jan Szeliga, Maciej Siuda</w:t>
      </w:r>
    </w:p>
    <w:p w14:paraId="1B4723C9"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Opracowanie graficzne</w:t>
      </w:r>
    </w:p>
    <w:p w14:paraId="13349244"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 xml:space="preserve">Piotr </w:t>
      </w:r>
      <w:proofErr w:type="spellStart"/>
      <w:r w:rsidRPr="0074018B">
        <w:rPr>
          <w:rFonts w:ascii="Theinhardt Regular" w:hAnsi="Theinhardt Regular" w:cs="Helvetica"/>
          <w:color w:val="000000"/>
          <w:sz w:val="20"/>
        </w:rPr>
        <w:t>Chuchla</w:t>
      </w:r>
      <w:proofErr w:type="spellEnd"/>
    </w:p>
    <w:p w14:paraId="62DBEFAD"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Projekt plakatu</w:t>
      </w:r>
    </w:p>
    <w:p w14:paraId="2A86A9CC"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proofErr w:type="spellStart"/>
      <w:r w:rsidRPr="0074018B">
        <w:rPr>
          <w:rFonts w:ascii="Theinhardt Regular" w:hAnsi="Theinhardt Regular" w:cs="Helvetica"/>
          <w:color w:val="000000"/>
          <w:sz w:val="20"/>
        </w:rPr>
        <w:t>postNoviki</w:t>
      </w:r>
      <w:proofErr w:type="spellEnd"/>
    </w:p>
    <w:p w14:paraId="0B2CCACF"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Tłumaczenia na język angielski</w:t>
      </w:r>
    </w:p>
    <w:p w14:paraId="506D168E"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 xml:space="preserve">Weronika </w:t>
      </w:r>
      <w:proofErr w:type="spellStart"/>
      <w:r w:rsidRPr="0074018B">
        <w:rPr>
          <w:rFonts w:ascii="Theinhardt Regular" w:hAnsi="Theinhardt Regular" w:cs="Helvetica"/>
          <w:color w:val="000000"/>
          <w:sz w:val="20"/>
        </w:rPr>
        <w:t>Mincer</w:t>
      </w:r>
      <w:proofErr w:type="spellEnd"/>
    </w:p>
    <w:p w14:paraId="040717A3"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Wykonanie mebli wystawowych</w:t>
      </w:r>
    </w:p>
    <w:p w14:paraId="1F2277B9"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S4P Manufaktura Mebli</w:t>
      </w:r>
    </w:p>
    <w:p w14:paraId="0857ADD5"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Realizacja wystawy</w:t>
      </w:r>
    </w:p>
    <w:p w14:paraId="26B46BA5"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 xml:space="preserve">Jakub Antosz, Marek Franczak, Piotr Frysztak, Szymon Ignatowicz, Paweł Sobczak, Sebastian </w:t>
      </w:r>
      <w:proofErr w:type="spellStart"/>
      <w:r w:rsidRPr="0074018B">
        <w:rPr>
          <w:rFonts w:ascii="Theinhardt Regular" w:hAnsi="Theinhardt Regular" w:cs="Helvetica"/>
          <w:color w:val="000000"/>
          <w:sz w:val="20"/>
        </w:rPr>
        <w:t>Powierża</w:t>
      </w:r>
      <w:proofErr w:type="spellEnd"/>
      <w:r w:rsidRPr="0074018B">
        <w:rPr>
          <w:rFonts w:ascii="Theinhardt Regular" w:hAnsi="Theinhardt Regular" w:cs="Helvetica"/>
          <w:color w:val="000000"/>
          <w:sz w:val="20"/>
        </w:rPr>
        <w:t xml:space="preserve">, Marcin </w:t>
      </w:r>
      <w:proofErr w:type="spellStart"/>
      <w:r w:rsidRPr="0074018B">
        <w:rPr>
          <w:rFonts w:ascii="Theinhardt Regular" w:hAnsi="Theinhardt Regular" w:cs="Helvetica"/>
          <w:color w:val="000000"/>
          <w:sz w:val="20"/>
        </w:rPr>
        <w:t>Szubiak</w:t>
      </w:r>
      <w:proofErr w:type="spellEnd"/>
      <w:r w:rsidRPr="0074018B">
        <w:rPr>
          <w:rFonts w:ascii="Theinhardt Regular" w:hAnsi="Theinhardt Regular" w:cs="Helvetica"/>
          <w:color w:val="000000"/>
          <w:sz w:val="20"/>
        </w:rPr>
        <w:t xml:space="preserve">, Jacek Turowski, Maciej Turowski, Michał </w:t>
      </w:r>
      <w:proofErr w:type="spellStart"/>
      <w:r w:rsidRPr="0074018B">
        <w:rPr>
          <w:rFonts w:ascii="Theinhardt Regular" w:hAnsi="Theinhardt Regular" w:cs="Helvetica"/>
          <w:color w:val="000000"/>
          <w:sz w:val="20"/>
        </w:rPr>
        <w:t>Ziętek</w:t>
      </w:r>
      <w:proofErr w:type="spellEnd"/>
    </w:p>
    <w:p w14:paraId="7292534F" w14:textId="77777777" w:rsidR="0074018B" w:rsidRPr="0074018B" w:rsidRDefault="0074018B" w:rsidP="0074018B">
      <w:pPr>
        <w:pStyle w:val="Nagwek3"/>
        <w:shd w:val="clear" w:color="auto" w:fill="FFFFFF"/>
        <w:spacing w:before="0" w:line="300" w:lineRule="atLeast"/>
        <w:textAlignment w:val="baseline"/>
        <w:rPr>
          <w:rFonts w:ascii="Theinhardt Regular" w:hAnsi="Theinhardt Regular" w:cs="Helvetica"/>
          <w:color w:val="000000"/>
          <w:sz w:val="20"/>
        </w:rPr>
      </w:pPr>
      <w:r w:rsidRPr="0074018B">
        <w:rPr>
          <w:rFonts w:ascii="Theinhardt Regular" w:hAnsi="Theinhardt Regular" w:cs="Helvetica"/>
          <w:b/>
          <w:bCs/>
          <w:color w:val="000000"/>
          <w:sz w:val="20"/>
        </w:rPr>
        <w:t>Współpraca</w:t>
      </w:r>
    </w:p>
    <w:p w14:paraId="7292EAA4" w14:textId="77777777" w:rsidR="0074018B" w:rsidRPr="0074018B" w:rsidRDefault="0074018B" w:rsidP="0074018B">
      <w:pPr>
        <w:pStyle w:val="NormalnyWeb"/>
        <w:shd w:val="clear" w:color="auto" w:fill="FFFFFF"/>
        <w:spacing w:before="0" w:beforeAutospacing="0" w:after="0" w:afterAutospacing="0"/>
        <w:textAlignment w:val="baseline"/>
        <w:rPr>
          <w:rFonts w:ascii="Theinhardt Regular" w:hAnsi="Theinhardt Regular" w:cs="Helvetica"/>
          <w:color w:val="000000"/>
          <w:sz w:val="20"/>
        </w:rPr>
      </w:pPr>
      <w:r w:rsidRPr="0074018B">
        <w:rPr>
          <w:rFonts w:ascii="Theinhardt Regular" w:hAnsi="Theinhardt Regular" w:cs="Helvetica"/>
          <w:color w:val="000000"/>
          <w:sz w:val="20"/>
        </w:rPr>
        <w:t xml:space="preserve">Elżbieta </w:t>
      </w:r>
      <w:proofErr w:type="spellStart"/>
      <w:r w:rsidRPr="0074018B">
        <w:rPr>
          <w:rFonts w:ascii="Theinhardt Regular" w:hAnsi="Theinhardt Regular" w:cs="Helvetica"/>
          <w:color w:val="000000"/>
          <w:sz w:val="20"/>
        </w:rPr>
        <w:t>Duziak</w:t>
      </w:r>
      <w:proofErr w:type="spellEnd"/>
      <w:r w:rsidRPr="0074018B">
        <w:rPr>
          <w:rFonts w:ascii="Theinhardt Regular" w:hAnsi="Theinhardt Regular" w:cs="Helvetica"/>
          <w:color w:val="000000"/>
          <w:sz w:val="20"/>
        </w:rPr>
        <w:t xml:space="preserve">, Anna Gajek, Anna </w:t>
      </w:r>
      <w:proofErr w:type="spellStart"/>
      <w:r w:rsidRPr="0074018B">
        <w:rPr>
          <w:rFonts w:ascii="Theinhardt Regular" w:hAnsi="Theinhardt Regular" w:cs="Helvetica"/>
          <w:color w:val="000000"/>
          <w:sz w:val="20"/>
        </w:rPr>
        <w:t>Tryc-Bromley</w:t>
      </w:r>
      <w:proofErr w:type="spellEnd"/>
      <w:r w:rsidRPr="0074018B">
        <w:rPr>
          <w:rFonts w:ascii="Theinhardt Regular" w:hAnsi="Theinhardt Regular" w:cs="Helvetica"/>
          <w:color w:val="000000"/>
          <w:sz w:val="20"/>
        </w:rPr>
        <w:t xml:space="preserve">, Marta </w:t>
      </w:r>
      <w:proofErr w:type="spellStart"/>
      <w:r w:rsidRPr="0074018B">
        <w:rPr>
          <w:rFonts w:ascii="Theinhardt Regular" w:hAnsi="Theinhardt Regular" w:cs="Helvetica"/>
          <w:color w:val="000000"/>
          <w:sz w:val="20"/>
        </w:rPr>
        <w:t>Hekselman</w:t>
      </w:r>
      <w:proofErr w:type="spellEnd"/>
      <w:r w:rsidRPr="0074018B">
        <w:rPr>
          <w:rFonts w:ascii="Theinhardt Regular" w:hAnsi="Theinhardt Regular" w:cs="Helvetica"/>
          <w:color w:val="000000"/>
          <w:sz w:val="20"/>
        </w:rPr>
        <w:t xml:space="preserve">, Dominika Jagiełło, Bartłomiej </w:t>
      </w:r>
      <w:proofErr w:type="spellStart"/>
      <w:r w:rsidRPr="0074018B">
        <w:rPr>
          <w:rFonts w:ascii="Theinhardt Regular" w:hAnsi="Theinhardt Regular" w:cs="Helvetica"/>
          <w:color w:val="000000"/>
          <w:sz w:val="20"/>
        </w:rPr>
        <w:t>Karelin</w:t>
      </w:r>
      <w:proofErr w:type="spellEnd"/>
      <w:r w:rsidRPr="0074018B">
        <w:rPr>
          <w:rFonts w:ascii="Theinhardt Regular" w:hAnsi="Theinhardt Regular" w:cs="Helvetica"/>
          <w:color w:val="000000"/>
          <w:sz w:val="20"/>
        </w:rPr>
        <w:t xml:space="preserve">, Wiktor Kazimierczak, Joanna Kołodziejska, Michał </w:t>
      </w:r>
      <w:proofErr w:type="spellStart"/>
      <w:r w:rsidRPr="0074018B">
        <w:rPr>
          <w:rFonts w:ascii="Theinhardt Regular" w:hAnsi="Theinhardt Regular" w:cs="Helvetica"/>
          <w:color w:val="000000"/>
          <w:sz w:val="20"/>
        </w:rPr>
        <w:t>Kożurno</w:t>
      </w:r>
      <w:proofErr w:type="spellEnd"/>
      <w:r w:rsidRPr="0074018B">
        <w:rPr>
          <w:rFonts w:ascii="Theinhardt Regular" w:hAnsi="Theinhardt Regular" w:cs="Helvetica"/>
          <w:color w:val="000000"/>
          <w:sz w:val="20"/>
        </w:rPr>
        <w:t xml:space="preserve">, Agnieszka </w:t>
      </w:r>
      <w:proofErr w:type="spellStart"/>
      <w:r w:rsidRPr="0074018B">
        <w:rPr>
          <w:rFonts w:ascii="Theinhardt Regular" w:hAnsi="Theinhardt Regular" w:cs="Helvetica"/>
          <w:color w:val="000000"/>
          <w:sz w:val="20"/>
        </w:rPr>
        <w:t>Kosela</w:t>
      </w:r>
      <w:proofErr w:type="spellEnd"/>
      <w:r w:rsidRPr="0074018B">
        <w:rPr>
          <w:rFonts w:ascii="Theinhardt Regular" w:hAnsi="Theinhardt Regular" w:cs="Helvetica"/>
          <w:color w:val="000000"/>
          <w:sz w:val="20"/>
        </w:rPr>
        <w:t xml:space="preserve">, Marta Maliszewska, Marek </w:t>
      </w:r>
      <w:proofErr w:type="spellStart"/>
      <w:r w:rsidRPr="0074018B">
        <w:rPr>
          <w:rFonts w:ascii="Theinhardt Regular" w:hAnsi="Theinhardt Regular" w:cs="Helvetica"/>
          <w:color w:val="000000"/>
          <w:sz w:val="20"/>
        </w:rPr>
        <w:t>Mastalerski</w:t>
      </w:r>
      <w:proofErr w:type="spellEnd"/>
      <w:r w:rsidRPr="0074018B">
        <w:rPr>
          <w:rFonts w:ascii="Theinhardt Regular" w:hAnsi="Theinhardt Regular" w:cs="Helvetica"/>
          <w:color w:val="000000"/>
          <w:sz w:val="20"/>
        </w:rPr>
        <w:t xml:space="preserve">, Marta Skowrońska-Markiewicz, Katarzyna Nowakowska, Bartosz Stawiarski, Marta Styczeń, </w:t>
      </w:r>
      <w:proofErr w:type="spellStart"/>
      <w:r w:rsidRPr="0074018B">
        <w:rPr>
          <w:rFonts w:ascii="Theinhardt Regular" w:hAnsi="Theinhardt Regular" w:cs="Helvetica"/>
          <w:color w:val="000000"/>
          <w:sz w:val="20"/>
        </w:rPr>
        <w:t>Kacha</w:t>
      </w:r>
      <w:proofErr w:type="spellEnd"/>
      <w:r w:rsidRPr="0074018B">
        <w:rPr>
          <w:rFonts w:ascii="Theinhardt Regular" w:hAnsi="Theinhardt Regular" w:cs="Helvetica"/>
          <w:color w:val="000000"/>
          <w:sz w:val="20"/>
        </w:rPr>
        <w:t xml:space="preserve"> Szaniawska, </w:t>
      </w:r>
      <w:proofErr w:type="spellStart"/>
      <w:r w:rsidRPr="0074018B">
        <w:rPr>
          <w:rFonts w:ascii="Theinhardt Regular" w:hAnsi="Theinhardt Regular" w:cs="Helvetica"/>
          <w:color w:val="000000"/>
          <w:sz w:val="20"/>
        </w:rPr>
        <w:t>Katia</w:t>
      </w:r>
      <w:proofErr w:type="spellEnd"/>
      <w:r w:rsidRPr="0074018B">
        <w:rPr>
          <w:rFonts w:ascii="Theinhardt Regular" w:hAnsi="Theinhardt Regular" w:cs="Helvetica"/>
          <w:color w:val="000000"/>
          <w:sz w:val="20"/>
        </w:rPr>
        <w:t xml:space="preserve"> Szczeka, Ewa </w:t>
      </w:r>
      <w:proofErr w:type="spellStart"/>
      <w:r w:rsidRPr="0074018B">
        <w:rPr>
          <w:rFonts w:ascii="Theinhardt Regular" w:hAnsi="Theinhardt Regular" w:cs="Helvetica"/>
          <w:color w:val="000000"/>
          <w:sz w:val="20"/>
        </w:rPr>
        <w:t>Urzykowska</w:t>
      </w:r>
      <w:proofErr w:type="spellEnd"/>
      <w:r w:rsidRPr="0074018B">
        <w:rPr>
          <w:rFonts w:ascii="Theinhardt Regular" w:hAnsi="Theinhardt Regular" w:cs="Helvetica"/>
          <w:color w:val="000000"/>
          <w:sz w:val="20"/>
        </w:rPr>
        <w:t xml:space="preserve">, Iga Winczakiewicz, Katarzyna Witt, Anna </w:t>
      </w:r>
      <w:proofErr w:type="spellStart"/>
      <w:r w:rsidRPr="0074018B">
        <w:rPr>
          <w:rFonts w:ascii="Theinhardt Regular" w:hAnsi="Theinhardt Regular" w:cs="Helvetica"/>
          <w:color w:val="000000"/>
          <w:sz w:val="20"/>
        </w:rPr>
        <w:t>Wołodko</w:t>
      </w:r>
      <w:proofErr w:type="spellEnd"/>
      <w:r w:rsidRPr="0074018B">
        <w:rPr>
          <w:rFonts w:ascii="Theinhardt Regular" w:hAnsi="Theinhardt Regular" w:cs="Helvetica"/>
          <w:color w:val="000000"/>
          <w:sz w:val="20"/>
        </w:rPr>
        <w:t>, Daniel Woźniak</w:t>
      </w:r>
    </w:p>
    <w:p w14:paraId="4CF1E7B2" w14:textId="459173FD" w:rsidR="0074018B" w:rsidRDefault="0074018B" w:rsidP="006F2C71">
      <w:pPr>
        <w:shd w:val="clear" w:color="auto" w:fill="FFFFFF"/>
        <w:spacing w:after="150"/>
        <w:jc w:val="both"/>
        <w:textAlignment w:val="baseline"/>
        <w:outlineLvl w:val="3"/>
        <w:rPr>
          <w:rFonts w:ascii="Theinhardt Regular" w:eastAsia="Times New Roman" w:hAnsi="Theinhardt Regular" w:cs="Helvetica"/>
          <w:bCs/>
          <w:color w:val="000000"/>
          <w:lang w:eastAsia="pl-PL"/>
        </w:rPr>
      </w:pPr>
    </w:p>
    <w:p w14:paraId="334BD758" w14:textId="3D09FB97" w:rsidR="0074018B" w:rsidRDefault="00314753" w:rsidP="006F2C71">
      <w:pPr>
        <w:shd w:val="clear" w:color="auto" w:fill="FFFFFF"/>
        <w:spacing w:after="150"/>
        <w:jc w:val="both"/>
        <w:textAlignment w:val="baseline"/>
        <w:outlineLvl w:val="3"/>
        <w:rPr>
          <w:rFonts w:ascii="Theinhardt Regular" w:eastAsia="Times New Roman" w:hAnsi="Theinhardt Regular" w:cs="Helvetica"/>
          <w:bCs/>
          <w:color w:val="000000"/>
          <w:lang w:eastAsia="pl-PL"/>
        </w:rPr>
      </w:pPr>
      <w:r>
        <w:rPr>
          <w:rFonts w:ascii="Theinhardt Regular" w:eastAsia="Times New Roman" w:hAnsi="Theinhardt Regular" w:cs="Helvetica"/>
          <w:bCs/>
          <w:color w:val="000000"/>
          <w:lang w:eastAsia="pl-PL"/>
        </w:rPr>
        <w:pict w14:anchorId="6DD27ED9">
          <v:shape id="_x0000_i1026" type="#_x0000_t75" style="width:285pt;height:2in">
            <v:imagedata r:id="rId5" o:title="logo org"/>
          </v:shape>
        </w:pict>
      </w:r>
    </w:p>
    <w:p w14:paraId="53BAD884" w14:textId="3A4558AD" w:rsidR="0074018B" w:rsidRPr="0074018B" w:rsidRDefault="0074018B" w:rsidP="006F2C71">
      <w:pPr>
        <w:shd w:val="clear" w:color="auto" w:fill="FFFFFF"/>
        <w:spacing w:after="150"/>
        <w:jc w:val="both"/>
        <w:textAlignment w:val="baseline"/>
        <w:outlineLvl w:val="3"/>
        <w:rPr>
          <w:rFonts w:ascii="Theinhardt Regular" w:eastAsia="Times New Roman" w:hAnsi="Theinhardt Regular" w:cs="Helvetica"/>
          <w:bCs/>
          <w:color w:val="000000"/>
          <w:lang w:eastAsia="pl-PL"/>
        </w:rPr>
      </w:pPr>
      <w:bookmarkStart w:id="0" w:name="_GoBack"/>
      <w:r>
        <w:rPr>
          <w:rFonts w:ascii="Theinhardt Regular" w:eastAsia="Times New Roman" w:hAnsi="Theinhardt Regular" w:cs="Helvetica"/>
          <w:bCs/>
          <w:color w:val="000000"/>
          <w:lang w:eastAsia="pl-PL"/>
        </w:rPr>
        <w:pict w14:anchorId="55588D4D">
          <v:shape id="_x0000_i1029" type="#_x0000_t75" style="width:435pt;height:145.5pt">
            <v:imagedata r:id="rId6" o:title="logo part"/>
          </v:shape>
        </w:pict>
      </w:r>
      <w:bookmarkEnd w:id="0"/>
    </w:p>
    <w:sectPr w:rsidR="0074018B" w:rsidRPr="0074018B" w:rsidSect="00072B2B">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einhardt Regular">
    <w:panose1 w:val="020B05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B2"/>
    <w:rsid w:val="00003862"/>
    <w:rsid w:val="00005C09"/>
    <w:rsid w:val="00021D7B"/>
    <w:rsid w:val="00036372"/>
    <w:rsid w:val="00045658"/>
    <w:rsid w:val="00063BC3"/>
    <w:rsid w:val="00072B2B"/>
    <w:rsid w:val="000A4FE8"/>
    <w:rsid w:val="00102D28"/>
    <w:rsid w:val="001A4A95"/>
    <w:rsid w:val="001D11CA"/>
    <w:rsid w:val="001E7EE5"/>
    <w:rsid w:val="00210EBA"/>
    <w:rsid w:val="002525CD"/>
    <w:rsid w:val="00262502"/>
    <w:rsid w:val="0026416C"/>
    <w:rsid w:val="00266DB0"/>
    <w:rsid w:val="0029251E"/>
    <w:rsid w:val="002B09ED"/>
    <w:rsid w:val="002B54CA"/>
    <w:rsid w:val="002B646F"/>
    <w:rsid w:val="00311950"/>
    <w:rsid w:val="00314753"/>
    <w:rsid w:val="00322145"/>
    <w:rsid w:val="003630ED"/>
    <w:rsid w:val="003D3B2B"/>
    <w:rsid w:val="003E7F88"/>
    <w:rsid w:val="00434042"/>
    <w:rsid w:val="00440401"/>
    <w:rsid w:val="0044498A"/>
    <w:rsid w:val="00446925"/>
    <w:rsid w:val="00447BCB"/>
    <w:rsid w:val="004826F8"/>
    <w:rsid w:val="004A4A77"/>
    <w:rsid w:val="004B71B5"/>
    <w:rsid w:val="004C2A1A"/>
    <w:rsid w:val="004D78FA"/>
    <w:rsid w:val="004E4967"/>
    <w:rsid w:val="005056DC"/>
    <w:rsid w:val="005331DE"/>
    <w:rsid w:val="00572895"/>
    <w:rsid w:val="005B5836"/>
    <w:rsid w:val="005C12F5"/>
    <w:rsid w:val="005D6E09"/>
    <w:rsid w:val="005F7A6F"/>
    <w:rsid w:val="00641A8D"/>
    <w:rsid w:val="006645DC"/>
    <w:rsid w:val="006A372E"/>
    <w:rsid w:val="006F1BBF"/>
    <w:rsid w:val="006F2C71"/>
    <w:rsid w:val="00720391"/>
    <w:rsid w:val="00734C7F"/>
    <w:rsid w:val="0074018B"/>
    <w:rsid w:val="00780B22"/>
    <w:rsid w:val="00823072"/>
    <w:rsid w:val="00887AC9"/>
    <w:rsid w:val="00894EA9"/>
    <w:rsid w:val="008A42B2"/>
    <w:rsid w:val="008B6407"/>
    <w:rsid w:val="009440F5"/>
    <w:rsid w:val="0097510D"/>
    <w:rsid w:val="00986356"/>
    <w:rsid w:val="00991DCC"/>
    <w:rsid w:val="00997939"/>
    <w:rsid w:val="009A0E11"/>
    <w:rsid w:val="009B53E9"/>
    <w:rsid w:val="009F5235"/>
    <w:rsid w:val="009F76CC"/>
    <w:rsid w:val="00A02553"/>
    <w:rsid w:val="00A10263"/>
    <w:rsid w:val="00A20600"/>
    <w:rsid w:val="00A27401"/>
    <w:rsid w:val="00A37F6C"/>
    <w:rsid w:val="00A50ABB"/>
    <w:rsid w:val="00AD09CD"/>
    <w:rsid w:val="00AE61C4"/>
    <w:rsid w:val="00B470E0"/>
    <w:rsid w:val="00B642A3"/>
    <w:rsid w:val="00B900E0"/>
    <w:rsid w:val="00C74554"/>
    <w:rsid w:val="00CB3DB6"/>
    <w:rsid w:val="00CD57DD"/>
    <w:rsid w:val="00CE2E4D"/>
    <w:rsid w:val="00CE48A4"/>
    <w:rsid w:val="00D423F9"/>
    <w:rsid w:val="00D42A61"/>
    <w:rsid w:val="00D61567"/>
    <w:rsid w:val="00DD779D"/>
    <w:rsid w:val="00E22EF1"/>
    <w:rsid w:val="00E337FF"/>
    <w:rsid w:val="00E702C6"/>
    <w:rsid w:val="00E76447"/>
    <w:rsid w:val="00EA7FB1"/>
    <w:rsid w:val="00EB03A6"/>
    <w:rsid w:val="00EB063C"/>
    <w:rsid w:val="00ED29CE"/>
    <w:rsid w:val="00F05445"/>
    <w:rsid w:val="00F44F08"/>
    <w:rsid w:val="00F67140"/>
    <w:rsid w:val="00F75CB2"/>
    <w:rsid w:val="00F85E4E"/>
    <w:rsid w:val="00FC57C4"/>
    <w:rsid w:val="00FF0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22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16C"/>
  </w:style>
  <w:style w:type="paragraph" w:styleId="Nagwek3">
    <w:name w:val="heading 3"/>
    <w:basedOn w:val="Normalny"/>
    <w:next w:val="Normalny"/>
    <w:link w:val="Nagwek3Znak"/>
    <w:uiPriority w:val="9"/>
    <w:semiHidden/>
    <w:unhideWhenUsed/>
    <w:qFormat/>
    <w:rsid w:val="0074018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6F2C71"/>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21D7B"/>
    <w:rPr>
      <w:sz w:val="16"/>
      <w:szCs w:val="16"/>
    </w:rPr>
  </w:style>
  <w:style w:type="paragraph" w:styleId="Tekstkomentarza">
    <w:name w:val="annotation text"/>
    <w:basedOn w:val="Normalny"/>
    <w:link w:val="TekstkomentarzaZnak"/>
    <w:uiPriority w:val="99"/>
    <w:semiHidden/>
    <w:unhideWhenUsed/>
    <w:rsid w:val="00021D7B"/>
    <w:rPr>
      <w:sz w:val="20"/>
      <w:szCs w:val="20"/>
    </w:rPr>
  </w:style>
  <w:style w:type="character" w:customStyle="1" w:styleId="TekstkomentarzaZnak">
    <w:name w:val="Tekst komentarza Znak"/>
    <w:basedOn w:val="Domylnaczcionkaakapitu"/>
    <w:link w:val="Tekstkomentarza"/>
    <w:uiPriority w:val="99"/>
    <w:semiHidden/>
    <w:rsid w:val="00021D7B"/>
    <w:rPr>
      <w:sz w:val="20"/>
      <w:szCs w:val="20"/>
    </w:rPr>
  </w:style>
  <w:style w:type="paragraph" w:styleId="Tematkomentarza">
    <w:name w:val="annotation subject"/>
    <w:basedOn w:val="Tekstkomentarza"/>
    <w:next w:val="Tekstkomentarza"/>
    <w:link w:val="TematkomentarzaZnak"/>
    <w:uiPriority w:val="99"/>
    <w:semiHidden/>
    <w:unhideWhenUsed/>
    <w:rsid w:val="00021D7B"/>
    <w:rPr>
      <w:b/>
      <w:bCs/>
    </w:rPr>
  </w:style>
  <w:style w:type="character" w:customStyle="1" w:styleId="TematkomentarzaZnak">
    <w:name w:val="Temat komentarza Znak"/>
    <w:basedOn w:val="TekstkomentarzaZnak"/>
    <w:link w:val="Tematkomentarza"/>
    <w:uiPriority w:val="99"/>
    <w:semiHidden/>
    <w:rsid w:val="00021D7B"/>
    <w:rPr>
      <w:b/>
      <w:bCs/>
      <w:sz w:val="20"/>
      <w:szCs w:val="20"/>
    </w:rPr>
  </w:style>
  <w:style w:type="paragraph" w:styleId="Tekstdymka">
    <w:name w:val="Balloon Text"/>
    <w:basedOn w:val="Normalny"/>
    <w:link w:val="TekstdymkaZnak"/>
    <w:uiPriority w:val="99"/>
    <w:semiHidden/>
    <w:unhideWhenUsed/>
    <w:rsid w:val="00021D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D7B"/>
    <w:rPr>
      <w:rFonts w:ascii="Segoe UI" w:hAnsi="Segoe UI" w:cs="Segoe UI"/>
      <w:sz w:val="18"/>
      <w:szCs w:val="18"/>
    </w:rPr>
  </w:style>
  <w:style w:type="paragraph" w:styleId="Mapadokumentu">
    <w:name w:val="Document Map"/>
    <w:basedOn w:val="Normalny"/>
    <w:link w:val="MapadokumentuZnak"/>
    <w:uiPriority w:val="99"/>
    <w:semiHidden/>
    <w:unhideWhenUsed/>
    <w:rsid w:val="004B71B5"/>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B71B5"/>
    <w:rPr>
      <w:rFonts w:ascii="Times New Roman" w:hAnsi="Times New Roman" w:cs="Times New Roman"/>
    </w:rPr>
  </w:style>
  <w:style w:type="paragraph" w:styleId="Poprawka">
    <w:name w:val="Revision"/>
    <w:hidden/>
    <w:uiPriority w:val="99"/>
    <w:semiHidden/>
    <w:rsid w:val="004B71B5"/>
  </w:style>
  <w:style w:type="table" w:styleId="Tabela-Siatka">
    <w:name w:val="Table Grid"/>
    <w:basedOn w:val="Standardowy"/>
    <w:uiPriority w:val="39"/>
    <w:rsid w:val="0007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22EF1"/>
    <w:pPr>
      <w:spacing w:before="100" w:beforeAutospacing="1" w:after="100" w:afterAutospacing="1"/>
    </w:pPr>
    <w:rPr>
      <w:rFonts w:ascii="Times New Roman" w:eastAsia="Times New Roman" w:hAnsi="Times New Roman" w:cs="Times New Roman"/>
      <w:lang w:eastAsia="pl-PL"/>
    </w:rPr>
  </w:style>
  <w:style w:type="character" w:customStyle="1" w:styleId="Nagwek4Znak">
    <w:name w:val="Nagłówek 4 Znak"/>
    <w:basedOn w:val="Domylnaczcionkaakapitu"/>
    <w:link w:val="Nagwek4"/>
    <w:uiPriority w:val="9"/>
    <w:rsid w:val="006F2C71"/>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
    <w:semiHidden/>
    <w:rsid w:val="0074018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4800">
      <w:bodyDiv w:val="1"/>
      <w:marLeft w:val="0"/>
      <w:marRight w:val="0"/>
      <w:marTop w:val="0"/>
      <w:marBottom w:val="0"/>
      <w:divBdr>
        <w:top w:val="none" w:sz="0" w:space="0" w:color="auto"/>
        <w:left w:val="none" w:sz="0" w:space="0" w:color="auto"/>
        <w:bottom w:val="none" w:sz="0" w:space="0" w:color="auto"/>
        <w:right w:val="none" w:sz="0" w:space="0" w:color="auto"/>
      </w:divBdr>
    </w:div>
    <w:div w:id="897859233">
      <w:bodyDiv w:val="1"/>
      <w:marLeft w:val="0"/>
      <w:marRight w:val="0"/>
      <w:marTop w:val="0"/>
      <w:marBottom w:val="0"/>
      <w:divBdr>
        <w:top w:val="none" w:sz="0" w:space="0" w:color="auto"/>
        <w:left w:val="none" w:sz="0" w:space="0" w:color="auto"/>
        <w:bottom w:val="none" w:sz="0" w:space="0" w:color="auto"/>
        <w:right w:val="none" w:sz="0" w:space="0" w:color="auto"/>
      </w:divBdr>
    </w:div>
    <w:div w:id="1079324805">
      <w:bodyDiv w:val="1"/>
      <w:marLeft w:val="0"/>
      <w:marRight w:val="0"/>
      <w:marTop w:val="0"/>
      <w:marBottom w:val="0"/>
      <w:divBdr>
        <w:top w:val="none" w:sz="0" w:space="0" w:color="auto"/>
        <w:left w:val="none" w:sz="0" w:space="0" w:color="auto"/>
        <w:bottom w:val="none" w:sz="0" w:space="0" w:color="auto"/>
        <w:right w:val="none" w:sz="0" w:space="0" w:color="auto"/>
      </w:divBdr>
      <w:divsChild>
        <w:div w:id="1766413009">
          <w:marLeft w:val="0"/>
          <w:marRight w:val="0"/>
          <w:marTop w:val="0"/>
          <w:marBottom w:val="0"/>
          <w:divBdr>
            <w:top w:val="none" w:sz="0" w:space="0" w:color="auto"/>
            <w:left w:val="none" w:sz="0" w:space="0" w:color="auto"/>
            <w:bottom w:val="none" w:sz="0" w:space="0" w:color="auto"/>
            <w:right w:val="none" w:sz="0" w:space="0" w:color="auto"/>
          </w:divBdr>
          <w:divsChild>
            <w:div w:id="664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965">
      <w:bodyDiv w:val="1"/>
      <w:marLeft w:val="0"/>
      <w:marRight w:val="0"/>
      <w:marTop w:val="0"/>
      <w:marBottom w:val="0"/>
      <w:divBdr>
        <w:top w:val="none" w:sz="0" w:space="0" w:color="auto"/>
        <w:left w:val="none" w:sz="0" w:space="0" w:color="auto"/>
        <w:bottom w:val="none" w:sz="0" w:space="0" w:color="auto"/>
        <w:right w:val="none" w:sz="0" w:space="0" w:color="auto"/>
      </w:divBdr>
    </w:div>
    <w:div w:id="1561676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Szerszeń</dc:creator>
  <cp:lastModifiedBy>Iga Winczakiewicz</cp:lastModifiedBy>
  <cp:revision>6</cp:revision>
  <cp:lastPrinted>2018-05-16T16:48:00Z</cp:lastPrinted>
  <dcterms:created xsi:type="dcterms:W3CDTF">2018-04-09T15:38:00Z</dcterms:created>
  <dcterms:modified xsi:type="dcterms:W3CDTF">2018-05-18T13:54:00Z</dcterms:modified>
</cp:coreProperties>
</file>