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28B4" w14:textId="06D7551E" w:rsidR="007B46E2" w:rsidRPr="009720CE" w:rsidRDefault="00D06D2E" w:rsidP="00DC13CB">
      <w:pPr>
        <w:jc w:val="right"/>
        <w:rPr>
          <w:rFonts w:ascii="Cambria" w:hAnsi="Cambria"/>
          <w:sz w:val="22"/>
          <w:szCs w:val="22"/>
          <w:lang w:val="en-US" w:eastAsia="pl-PL"/>
        </w:rPr>
      </w:pPr>
      <w:r w:rsidRPr="009720CE">
        <w:rPr>
          <w:rFonts w:ascii="Cambria" w:hAnsi="Cambria"/>
          <w:noProof/>
          <w:sz w:val="22"/>
          <w:szCs w:val="22"/>
          <w:lang w:val="en-US" w:eastAsia="pl-PL"/>
        </w:rPr>
        <w:drawing>
          <wp:inline distT="0" distB="0" distL="0" distR="0" wp14:anchorId="364C3E93" wp14:editId="7B79B310">
            <wp:extent cx="1161306" cy="1161306"/>
            <wp:effectExtent l="0" t="0" r="7620" b="7620"/>
            <wp:docPr id="1" name="Obraz 1" descr="logo-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ze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4" cy="11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A0EF" w14:textId="77777777" w:rsidR="00FB5A17" w:rsidRPr="009720CE" w:rsidRDefault="00FB5A17" w:rsidP="007B46E2">
      <w:pPr>
        <w:rPr>
          <w:rFonts w:ascii="Cambria" w:hAnsi="Cambria"/>
          <w:b/>
          <w:bCs/>
          <w:sz w:val="28"/>
          <w:szCs w:val="28"/>
          <w:lang w:val="en-US" w:eastAsia="pl-PL"/>
        </w:rPr>
      </w:pPr>
      <w:r w:rsidRPr="009720CE">
        <w:rPr>
          <w:rFonts w:ascii="Cambria" w:hAnsi="Cambria"/>
          <w:b/>
          <w:bCs/>
          <w:sz w:val="28"/>
          <w:szCs w:val="28"/>
          <w:lang w:val="en-US" w:eastAsia="pl-PL"/>
        </w:rPr>
        <w:t>ON THE TIP OF THE TONGUE</w:t>
      </w:r>
    </w:p>
    <w:p w14:paraId="4606D5AB" w14:textId="21F62790" w:rsidR="00FB5A17" w:rsidRPr="009720CE" w:rsidRDefault="00FB5A17" w:rsidP="007B46E2">
      <w:pPr>
        <w:rPr>
          <w:rFonts w:ascii="Cambria" w:hAnsi="Cambria"/>
          <w:b/>
          <w:bCs/>
          <w:sz w:val="28"/>
          <w:szCs w:val="28"/>
          <w:lang w:val="en-US" w:eastAsia="pl-PL"/>
        </w:rPr>
      </w:pPr>
      <w:r w:rsidRPr="009720CE">
        <w:rPr>
          <w:rFonts w:ascii="Cambria" w:hAnsi="Cambria"/>
          <w:b/>
          <w:bCs/>
          <w:sz w:val="28"/>
          <w:szCs w:val="28"/>
          <w:lang w:val="en-US" w:eastAsia="pl-PL"/>
        </w:rPr>
        <w:t>PERFORMANCE AND THE WAR OF WORDS</w:t>
      </w:r>
    </w:p>
    <w:p w14:paraId="0F3FE9B9" w14:textId="77777777" w:rsidR="00FB5A17" w:rsidRPr="009720CE" w:rsidRDefault="00FB5A17" w:rsidP="007B46E2">
      <w:pPr>
        <w:rPr>
          <w:rFonts w:ascii="Cambria" w:hAnsi="Cambria"/>
          <w:sz w:val="28"/>
          <w:szCs w:val="28"/>
          <w:lang w:val="en-US" w:eastAsia="pl-PL"/>
        </w:rPr>
      </w:pPr>
    </w:p>
    <w:p w14:paraId="2C0F3940" w14:textId="091A038C" w:rsidR="00FB5A17" w:rsidRPr="009720CE" w:rsidRDefault="00FB5A17" w:rsidP="007B46E2">
      <w:pPr>
        <w:rPr>
          <w:rFonts w:ascii="Cambria" w:hAnsi="Cambria"/>
          <w:sz w:val="22"/>
          <w:szCs w:val="22"/>
          <w:lang w:val="en-US" w:eastAsia="pl-PL"/>
        </w:rPr>
      </w:pPr>
      <w:r w:rsidRPr="009720CE">
        <w:rPr>
          <w:rFonts w:ascii="Cambria" w:hAnsi="Cambria"/>
          <w:sz w:val="22"/>
          <w:szCs w:val="22"/>
          <w:lang w:val="en-US" w:eastAsia="pl-PL"/>
        </w:rPr>
        <w:t>21 September–30 October 2016</w:t>
      </w:r>
    </w:p>
    <w:p w14:paraId="3EC64D92" w14:textId="5050DC45" w:rsidR="00FB5A17" w:rsidRPr="009720CE" w:rsidRDefault="00FB5A17" w:rsidP="007B46E2">
      <w:pPr>
        <w:rPr>
          <w:rFonts w:ascii="Cambria" w:hAnsi="Cambria"/>
          <w:sz w:val="22"/>
          <w:szCs w:val="22"/>
          <w:lang w:val="en-US" w:eastAsia="pl-PL"/>
        </w:rPr>
      </w:pPr>
      <w:r w:rsidRPr="009720CE">
        <w:rPr>
          <w:rFonts w:ascii="Cambria" w:hAnsi="Cambria"/>
          <w:sz w:val="22"/>
          <w:szCs w:val="22"/>
          <w:lang w:val="en-US" w:eastAsia="pl-PL"/>
        </w:rPr>
        <w:t>Museum of Modern Art in Warsaw</w:t>
      </w:r>
    </w:p>
    <w:p w14:paraId="491F18DC" w14:textId="3A1AAA97" w:rsidR="00FB5A17" w:rsidRPr="009720CE" w:rsidRDefault="00FB5A17" w:rsidP="007B46E2">
      <w:pPr>
        <w:rPr>
          <w:rFonts w:ascii="Cambria" w:hAnsi="Cambria"/>
          <w:sz w:val="22"/>
          <w:szCs w:val="22"/>
          <w:lang w:val="en-US" w:eastAsia="pl-PL"/>
        </w:rPr>
      </w:pPr>
      <w:r w:rsidRPr="009720CE">
        <w:rPr>
          <w:rFonts w:ascii="Cambria" w:hAnsi="Cambria"/>
          <w:sz w:val="22"/>
          <w:szCs w:val="22"/>
          <w:lang w:val="en-US" w:eastAsia="pl-PL"/>
        </w:rPr>
        <w:t>ul. Pańska 3, 00-124 Warsaw, Poland</w:t>
      </w:r>
    </w:p>
    <w:p w14:paraId="1248E25E" w14:textId="1120E55A" w:rsidR="00FE5F66" w:rsidRPr="009720CE" w:rsidRDefault="00FE5F66" w:rsidP="007B46E2">
      <w:pPr>
        <w:rPr>
          <w:rFonts w:ascii="Cambria" w:hAnsi="Cambria"/>
          <w:sz w:val="22"/>
          <w:szCs w:val="22"/>
          <w:lang w:val="en-US" w:eastAsia="pl-PL"/>
        </w:rPr>
      </w:pPr>
      <w:r w:rsidRPr="009720CE">
        <w:rPr>
          <w:rFonts w:ascii="Cambria" w:hAnsi="Cambria"/>
          <w:sz w:val="22"/>
          <w:szCs w:val="22"/>
          <w:lang w:val="en-US" w:eastAsia="pl-PL"/>
        </w:rPr>
        <w:t>Admission free</w:t>
      </w:r>
    </w:p>
    <w:p w14:paraId="4825403C" w14:textId="77777777" w:rsidR="004D236D" w:rsidRPr="009720CE" w:rsidRDefault="004D236D" w:rsidP="004D236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2"/>
          <w:szCs w:val="22"/>
          <w:lang w:val="en-US"/>
        </w:rPr>
      </w:pPr>
    </w:p>
    <w:p w14:paraId="581E08A6" w14:textId="77777777" w:rsidR="004D236D" w:rsidRPr="009720CE" w:rsidRDefault="004D236D" w:rsidP="004D236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2"/>
          <w:szCs w:val="22"/>
          <w:lang w:val="en-US"/>
        </w:rPr>
      </w:pPr>
      <w:r w:rsidRPr="009720CE">
        <w:rPr>
          <w:rFonts w:ascii="Cambria" w:hAnsi="Cambria" w:cs="Helvetica"/>
          <w:noProof/>
          <w:sz w:val="22"/>
          <w:szCs w:val="22"/>
          <w:lang w:val="en-US" w:eastAsia="pl-PL"/>
        </w:rPr>
        <w:drawing>
          <wp:inline distT="0" distB="0" distL="0" distR="0" wp14:anchorId="70F876D2" wp14:editId="06F35A2B">
            <wp:extent cx="2667846" cy="1739900"/>
            <wp:effectExtent l="0" t="0" r="0" b="0"/>
            <wp:docPr id="2" name="Obraz 2" descr="Po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58" cy="17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1AA3" w14:textId="77777777" w:rsidR="00DD6394" w:rsidRPr="009720CE" w:rsidRDefault="00C16592" w:rsidP="00C16592">
      <w:pPr>
        <w:rPr>
          <w:rFonts w:ascii="Cambria" w:eastAsia="Times New Roman" w:hAnsi="Cambria" w:cs="Times New Roman"/>
          <w:color w:val="333333"/>
          <w:sz w:val="18"/>
          <w:szCs w:val="18"/>
          <w:shd w:val="clear" w:color="auto" w:fill="FFFFFF"/>
          <w:lang w:val="en-US" w:eastAsia="pl-PL"/>
        </w:rPr>
      </w:pPr>
      <w:r w:rsidRPr="009720CE">
        <w:rPr>
          <w:rFonts w:ascii="Cambria" w:hAnsi="Cambria" w:cs="Times New Roman"/>
          <w:sz w:val="18"/>
          <w:szCs w:val="18"/>
          <w:lang w:val="en-US"/>
        </w:rPr>
        <w:t>Pope.</w:t>
      </w:r>
      <w:r w:rsidR="0014602D" w:rsidRPr="009720CE">
        <w:rPr>
          <w:rFonts w:ascii="Cambria" w:hAnsi="Cambria" w:cs="Times New Roman"/>
          <w:sz w:val="18"/>
          <w:szCs w:val="18"/>
          <w:lang w:val="en-US"/>
        </w:rPr>
        <w:t>L, “The Great White Way: 22 Miles, 9 Years, 1 Street (Whitney version #2),” 1990,</w:t>
      </w:r>
      <w:r w:rsidRPr="009720CE">
        <w:rPr>
          <w:rFonts w:ascii="Cambria" w:hAnsi="Cambria" w:cs="Times New Roman"/>
          <w:sz w:val="18"/>
          <w:szCs w:val="18"/>
          <w:lang w:val="en-US"/>
        </w:rPr>
        <w:t xml:space="preserve"> </w:t>
      </w:r>
      <w:r w:rsidRPr="009720CE">
        <w:rPr>
          <w:rFonts w:ascii="Cambria" w:eastAsia="Times New Roman" w:hAnsi="Cambria" w:cs="Times New Roman"/>
          <w:color w:val="333333"/>
          <w:sz w:val="18"/>
          <w:szCs w:val="18"/>
          <w:shd w:val="clear" w:color="auto" w:fill="FFFFFF"/>
          <w:lang w:val="en-US" w:eastAsia="pl-PL"/>
        </w:rPr>
        <w:t xml:space="preserve">video still </w:t>
      </w:r>
    </w:p>
    <w:p w14:paraId="1F80B921" w14:textId="6A02D274" w:rsidR="00C16592" w:rsidRPr="009720CE" w:rsidRDefault="00C16592" w:rsidP="00C16592">
      <w:pPr>
        <w:rPr>
          <w:rFonts w:ascii="Cambria" w:eastAsia="Times New Roman" w:hAnsi="Cambria" w:cs="Times New Roman"/>
          <w:sz w:val="18"/>
          <w:szCs w:val="18"/>
          <w:lang w:val="en-US" w:eastAsia="pl-PL"/>
        </w:rPr>
      </w:pPr>
      <w:r w:rsidRPr="009720CE">
        <w:rPr>
          <w:rFonts w:ascii="Cambria" w:eastAsia="Times New Roman" w:hAnsi="Cambria" w:cs="Times New Roman"/>
          <w:color w:val="333333"/>
          <w:sz w:val="18"/>
          <w:szCs w:val="18"/>
          <w:shd w:val="clear" w:color="auto" w:fill="FFFFFF"/>
          <w:lang w:val="en-US" w:eastAsia="pl-PL"/>
        </w:rPr>
        <w:t>© Pope.L. Courtesy of the artist and Mitchell-Innes &amp; Nash, New York</w:t>
      </w:r>
    </w:p>
    <w:p w14:paraId="6782B8B8" w14:textId="56740F68" w:rsidR="004D236D" w:rsidRPr="009720CE" w:rsidRDefault="004D236D" w:rsidP="004D236D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14"/>
          <w:szCs w:val="14"/>
          <w:lang w:val="en-US"/>
        </w:rPr>
      </w:pPr>
    </w:p>
    <w:p w14:paraId="66E31378" w14:textId="01361178" w:rsidR="00FB5A17" w:rsidRPr="009720CE" w:rsidRDefault="00FB5A17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  <w:r w:rsidRPr="009720CE">
        <w:rPr>
          <w:rFonts w:ascii="Cambria" w:hAnsi="Cambria" w:cs="Times New Roman"/>
          <w:sz w:val="22"/>
          <w:szCs w:val="22"/>
          <w:lang w:val="en-US"/>
        </w:rPr>
        <w:t>“On the Tip of the Tongue: Performance and the War of Words” is a six-week program beginning at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the end of September at the Museum of Modern Art in Warsaw, entirely dedicated to performance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and an expanded reflection on the issue of communication. It seems that language has recently lost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the ability to capture reality. And it is not only that the words are losing their meanings but they have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also ceased to actually fit what they are trying to describe as a result of their many abuses, rhetorical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games, or mockery. Instead of being a common area of a possible compromise, language has recently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become very aggressive, egoistic, and inexpressive. It has thus lost its communicative function and,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furthermore, it is unable to capture the dynamics of the current changes.</w:t>
      </w:r>
    </w:p>
    <w:p w14:paraId="6BB49029" w14:textId="77777777" w:rsidR="00DD6394" w:rsidRPr="009720CE" w:rsidRDefault="00DD6394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</w:p>
    <w:p w14:paraId="6C7AEBC9" w14:textId="6FFB66A0" w:rsidR="00DD6394" w:rsidRPr="009720CE" w:rsidRDefault="00FB5A17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  <w:r w:rsidRPr="009720CE">
        <w:rPr>
          <w:rFonts w:ascii="Cambria" w:hAnsi="Cambria" w:cs="Times New Roman"/>
          <w:sz w:val="22"/>
          <w:szCs w:val="22"/>
          <w:lang w:val="en-US"/>
        </w:rPr>
        <w:t>“On the Tip of the Tongue: Performance and the War of Words” is also an active take on these issues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by means of references to a medium which is most sensitive to the here and now — per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formance. Performance </w:t>
      </w:r>
      <w:r w:rsidRPr="009720CE">
        <w:rPr>
          <w:rFonts w:ascii="Cambria" w:hAnsi="Cambria" w:cs="Times New Roman"/>
          <w:sz w:val="22"/>
          <w:szCs w:val="22"/>
          <w:lang w:val="en-US"/>
        </w:rPr>
        <w:t>enables communication with our surrounding reality, saturated with misunderstandings and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conflicts. The invited artists — Cara Benedetto, Jeremiah Day, Wojciec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h Kosma, and Pope.L — resort to </w:t>
      </w:r>
      <w:r w:rsidRPr="009720CE">
        <w:rPr>
          <w:rFonts w:ascii="Cambria" w:hAnsi="Cambria" w:cs="Times New Roman"/>
          <w:sz w:val="22"/>
          <w:szCs w:val="22"/>
          <w:lang w:val="en-US"/>
        </w:rPr>
        <w:t>different contexts, practices, and activities. In so doing, they will be using performance as a tool that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aims at capturing the changes by means of action, as language is no longer useful in articulating it.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</w:p>
    <w:p w14:paraId="20C2C963" w14:textId="77777777" w:rsidR="00DD6394" w:rsidRPr="009720CE" w:rsidRDefault="00DD6394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</w:p>
    <w:p w14:paraId="6D05248C" w14:textId="2AF7B609" w:rsidR="00FB5A17" w:rsidRPr="009720CE" w:rsidRDefault="00FB5A17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  <w:r w:rsidRPr="009720CE">
        <w:rPr>
          <w:rFonts w:ascii="Cambria" w:hAnsi="Cambria" w:cs="Times New Roman"/>
          <w:sz w:val="22"/>
          <w:szCs w:val="22"/>
          <w:lang w:val="en-US"/>
        </w:rPr>
        <w:t xml:space="preserve">A series of meetings and discussions with invited guests will accompany the actions of the 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artists. Moderated </w:t>
      </w:r>
      <w:r w:rsidRPr="009720CE">
        <w:rPr>
          <w:rFonts w:ascii="Cambria" w:hAnsi="Cambria" w:cs="Times New Roman"/>
          <w:sz w:val="22"/>
          <w:szCs w:val="22"/>
          <w:lang w:val="en-US"/>
        </w:rPr>
        <w:t>by Paweł Dobrosielski (Institute of Polish Culture at the University of Warsaw), the aim of these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events will be to reflect on the devaluation of public debate in Poland, through such notions as “gender,”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“politics,” “pluralism,” “the nation,” or “the left/the right,” all of which have become pervasive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clichés that seem to generate connotations with an obvious constellation of values and meanings. The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participating guests will consider these words in an attempt to restore their meanings and historical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continuity, as well as their power in describing reality.</w:t>
      </w:r>
    </w:p>
    <w:p w14:paraId="5E3DD7DA" w14:textId="77777777" w:rsidR="00DD6394" w:rsidRPr="009720CE" w:rsidRDefault="00DD6394" w:rsidP="00DD6394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</w:p>
    <w:p w14:paraId="4869426E" w14:textId="117501A3" w:rsidR="00A1438B" w:rsidRPr="009720CE" w:rsidRDefault="00FB5A17" w:rsidP="00FE5F66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2"/>
          <w:szCs w:val="22"/>
          <w:lang w:val="en-US"/>
        </w:rPr>
      </w:pPr>
      <w:r w:rsidRPr="009720CE">
        <w:rPr>
          <w:rFonts w:ascii="Cambria" w:hAnsi="Cambria" w:cs="Times New Roman"/>
          <w:sz w:val="22"/>
          <w:szCs w:val="22"/>
          <w:lang w:val="en-US"/>
        </w:rPr>
        <w:t>To coincide with “On the Tip of the Tongue: Performance and the War of Words,” the Performance</w:t>
      </w:r>
      <w:r w:rsidR="00FE5F66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Archive will be launched — a continually expanded online archive showing the wealth and t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he ambiguous </w:t>
      </w:r>
      <w:r w:rsidRPr="009720CE">
        <w:rPr>
          <w:rFonts w:ascii="Cambria" w:hAnsi="Cambria" w:cs="Times New Roman"/>
          <w:sz w:val="22"/>
          <w:szCs w:val="22"/>
          <w:lang w:val="en-US"/>
        </w:rPr>
        <w:t>tradition of the history of performance in Poland. The archive will be presented and problematized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in a series of meetings moderated by Joanna Krakowska (Art Institute at the Polish Academy of Science)</w:t>
      </w:r>
      <w:r w:rsidR="00DD6394" w:rsidRPr="009720CE">
        <w:rPr>
          <w:rFonts w:ascii="Cambria" w:hAnsi="Cambria" w:cs="Times New Roman"/>
          <w:sz w:val="22"/>
          <w:szCs w:val="22"/>
          <w:lang w:val="en-US"/>
        </w:rPr>
        <w:t xml:space="preserve"> </w:t>
      </w:r>
      <w:r w:rsidRPr="009720CE">
        <w:rPr>
          <w:rFonts w:ascii="Cambria" w:hAnsi="Cambria" w:cs="Times New Roman"/>
          <w:sz w:val="22"/>
          <w:szCs w:val="22"/>
          <w:lang w:val="en-US"/>
        </w:rPr>
        <w:t>and Piotr Morawski (Institute of Polish Culture at the University of Warsaw), with invited guests.</w:t>
      </w:r>
    </w:p>
    <w:p w14:paraId="59E43DA6" w14:textId="77777777" w:rsidR="00FB5A17" w:rsidRPr="009720CE" w:rsidRDefault="00FB5A17" w:rsidP="00FB5A17">
      <w:pPr>
        <w:rPr>
          <w:rFonts w:ascii="Cambria" w:hAnsi="Cambria"/>
          <w:sz w:val="22"/>
          <w:szCs w:val="22"/>
          <w:lang w:val="en-US"/>
        </w:rPr>
      </w:pPr>
    </w:p>
    <w:p w14:paraId="7A36212C" w14:textId="77777777" w:rsidR="00FE5F66" w:rsidRPr="009720CE" w:rsidRDefault="00FE5F66" w:rsidP="00FB5A17">
      <w:pPr>
        <w:rPr>
          <w:rFonts w:ascii="Cambria" w:hAnsi="Cambria"/>
          <w:sz w:val="22"/>
          <w:szCs w:val="22"/>
          <w:lang w:val="en-US"/>
        </w:rPr>
      </w:pPr>
    </w:p>
    <w:p w14:paraId="204FD604" w14:textId="7F5855CC" w:rsidR="00A1438B" w:rsidRPr="009720CE" w:rsidRDefault="00FE5F66" w:rsidP="00A1438B">
      <w:pPr>
        <w:shd w:val="clear" w:color="auto" w:fill="FFFFFF"/>
        <w:jc w:val="both"/>
        <w:textAlignment w:val="baseline"/>
        <w:rPr>
          <w:rFonts w:ascii="Cambria" w:hAnsi="Cambria"/>
          <w:b/>
          <w:bCs/>
          <w:sz w:val="22"/>
          <w:szCs w:val="22"/>
          <w:lang w:val="en-US"/>
        </w:rPr>
      </w:pPr>
      <w:r w:rsidRPr="009720CE">
        <w:rPr>
          <w:rFonts w:ascii="Cambria" w:hAnsi="Cambria"/>
          <w:b/>
          <w:bCs/>
          <w:sz w:val="22"/>
          <w:szCs w:val="22"/>
          <w:lang w:val="en-US"/>
        </w:rPr>
        <w:t>CALENDAR</w:t>
      </w:r>
    </w:p>
    <w:p w14:paraId="31D20F0D" w14:textId="77777777" w:rsidR="00A1438B" w:rsidRPr="009720CE" w:rsidRDefault="00A1438B" w:rsidP="00A1438B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2"/>
          <w:szCs w:val="22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978"/>
        <w:gridCol w:w="1557"/>
        <w:gridCol w:w="4448"/>
        <w:gridCol w:w="1355"/>
      </w:tblGrid>
      <w:tr w:rsidR="00DC13CB" w:rsidRPr="009720CE" w14:paraId="7952C1FB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83705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21.09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397BB" w14:textId="1FB6C915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3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–</w:t>
            </w: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09D67" w14:textId="28DF9A2B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3424C" w14:textId="57F42A60" w:rsidR="00A1438B" w:rsidRPr="009720CE" w:rsidRDefault="00FE5F66" w:rsidP="00DD639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Cara Benedetto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DD6394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Anything Cant Happen</w:t>
            </w:r>
            <w:r w:rsidR="00DD6394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” </w:t>
            </w:r>
            <w:r w:rsidR="00DC13C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br/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(open rehearsal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33B32" w14:textId="5CCE7667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499D2491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ABB2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22.09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FD30F" w14:textId="758B1B6E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3–7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0C8FC" w14:textId="73CC04DE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B198E" w14:textId="3FD6C42E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Cara Benedetto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DD6394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Anything Cant Happen</w:t>
            </w:r>
            <w:r w:rsidR="00DD6394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” </w:t>
            </w:r>
            <w:r w:rsidR="00DD6394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br/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(open rehearsal)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0244A" w14:textId="7D4EF66E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72CCBBE6" w14:textId="77777777" w:rsidTr="00607DE8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A7EB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23.09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6A2A9" w14:textId="5E80D48F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8: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30</w:t>
            </w: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 PM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–</w:t>
            </w:r>
            <w:r w:rsidRPr="009720CE">
              <w:rPr>
                <w:rFonts w:ascii="Cambria" w:hAnsi="Cambria" w:cs="Helvetica"/>
                <w:sz w:val="18"/>
                <w:szCs w:val="18"/>
              </w:rPr>
              <w:t>12:30 AM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B0163" w14:textId="0CFDC614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248F" w14:textId="1D9E68FB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Cara Benedetto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Anything Cant Happen</w:t>
            </w:r>
            <w:r w:rsidR="00607DE8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” </w:t>
            </w:r>
            <w:r w:rsidR="00607DE8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(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RSVP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event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)</w:t>
            </w:r>
          </w:p>
          <w:p w14:paraId="33B44383" w14:textId="2080A9E7" w:rsidR="00A1438B" w:rsidRPr="009720CE" w:rsidRDefault="00607DE8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To RSVP you must be a self-identified woman, or a trans-person, or their guest. RSVP to </w:t>
            </w:r>
            <w:r w:rsidR="007B223D" w:rsidRPr="009720CE">
              <w:rPr>
                <w:rFonts w:ascii="Cambria" w:hAnsi="Cambria" w:cs="Helvetica"/>
                <w:sz w:val="18"/>
                <w:szCs w:val="18"/>
              </w:rPr>
              <w:t>rsvp@artmuseum.pl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ECFF5" w14:textId="5950C721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299217F8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154DA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24.09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0F10E" w14:textId="3FCCA99B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12–8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C9954" w14:textId="1A872DE0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EXHIBITION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2ECEE" w14:textId="1CD8427A" w:rsidR="00A1438B" w:rsidRPr="009720CE" w:rsidRDefault="00A1438B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Cara Benedetto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Anything Cant Happen</w:t>
            </w:r>
            <w:r w:rsidR="00607DE8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” </w:t>
            </w:r>
            <w:r w:rsidR="00607DE8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(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remains of erotic exchanges)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82FE3" w14:textId="0AF42FDB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54CC0D9F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5D43" w14:textId="33337FED" w:rsidR="007B223D" w:rsidRPr="009720CE" w:rsidRDefault="007B223D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24.09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098F2" w14:textId="79713B37" w:rsidR="007B223D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4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8724D" w14:textId="60874EA8" w:rsidR="007B223D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CONVERSATION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(ENG)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5CD84" w14:textId="7B4A620C" w:rsidR="007B223D" w:rsidRPr="009720CE" w:rsidRDefault="007B223D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Cara Benedetto 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in conversation with Monika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Szczukowsk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9F6C0" w14:textId="70FB5FF3" w:rsidR="007B223D" w:rsidRPr="009720CE" w:rsidRDefault="007B223D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ul. Pańska 3</w:t>
            </w:r>
          </w:p>
        </w:tc>
      </w:tr>
      <w:tr w:rsidR="00DC13CB" w:rsidRPr="009720CE" w14:paraId="32E28B78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E4C59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26.09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3E893" w14:textId="57D0F3CA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F4A4" w14:textId="2A823711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LECTURE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F1BFB" w14:textId="7B16EAB3" w:rsidR="00A1438B" w:rsidRPr="009720CE" w:rsidRDefault="00607DE8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Beyond the Performance Archive 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– 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Z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bigniew Warpechowski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1554F" w14:textId="54DCA97E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4B9AFC1A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D5748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27.09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3314" w14:textId="7976CCE8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82DF" w14:textId="2C7F4B8D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PERFORMATIVE LECTURE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818D" w14:textId="067EE5C7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Archive of Conflict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| Archi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ve of Utopia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1BE36" w14:textId="305F24CF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11D3CC40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64D29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29.09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ADDF5" w14:textId="7D704F00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1E576" w14:textId="6BF4E197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DISCUSSION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C9118" w14:textId="796C6544" w:rsidR="00A1438B" w:rsidRPr="009720CE" w:rsidRDefault="00607DE8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Index of Forbidden Words 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–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gender”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72C86" w14:textId="4D13F177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52A55AE8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49062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4.10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3D3C0" w14:textId="6CB0FB6B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F1F8D" w14:textId="08DCE696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EXHIBITION OPENING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A43E8" w14:textId="7B0EC90B" w:rsidR="00A1438B" w:rsidRPr="009720CE" w:rsidRDefault="00FE5F66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Jeremiah Day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The 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Frank Church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: River of No Return Wilderness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BF366" w14:textId="0F9C1206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7BC750B7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D61BB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4.10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B088B" w14:textId="4D72978D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6:30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38C86" w14:textId="14536785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607DE8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2A3DC" w14:textId="27B47842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Jeremiah Day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607DE8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The Frank Church: River of No Return Wilderness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4E4B8" w14:textId="716C3689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75A6FE2B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6F92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5.10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50DE0" w14:textId="311141EE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4269" w14:textId="4F84A2B0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DISCUSSION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A8FAF" w14:textId="2A41CFDA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Index of Forbidden Words 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–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polit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ics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708BD" w14:textId="5F75151D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26B12EA7" w14:textId="77777777" w:rsidTr="00607DE8">
        <w:trPr>
          <w:trHeight w:val="236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1AAB7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6.10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EE1F4" w14:textId="29790216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F45AD" w14:textId="366449D3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607DE8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0D762" w14:textId="50DF5CA5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Jeremiah Day and Jakub Dymek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MAQUIS”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3CD21" w14:textId="29B7D061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47F77C77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C8298" w14:textId="7C6EAE67" w:rsidR="007B223D" w:rsidRPr="009720CE" w:rsidRDefault="007B223D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AE10D" w14:textId="417316B7" w:rsidR="007B223D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895C7" w14:textId="08E18A55" w:rsidR="007B223D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CONVERSATION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B5E8" w14:textId="4C8686EF" w:rsidR="007B223D" w:rsidRPr="009720CE" w:rsidRDefault="00607DE8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Beyond the Performance Archive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– Teresa Murak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D4B1E" w14:textId="1697963E" w:rsidR="007B223D" w:rsidRPr="009720CE" w:rsidRDefault="007B223D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ul. Pańska 3</w:t>
            </w:r>
          </w:p>
        </w:tc>
      </w:tr>
      <w:tr w:rsidR="00DC13CB" w:rsidRPr="009720CE" w14:paraId="6081236E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770F7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11.10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5ABB2" w14:textId="15FF92F1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77CB" w14:textId="485891E3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DISCUSSION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8A66D" w14:textId="154A94B4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Index of Forbidden Words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–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pluralis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m”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56ADB" w14:textId="0BC1E0B9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798982A9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24ED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12.10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A7C81" w14:textId="23ED7924" w:rsidR="00A1438B" w:rsidRPr="009720CE" w:rsidRDefault="00607DE8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723A0" w14:textId="718355EF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607DE8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E84E5" w14:textId="111D5233" w:rsidR="00A1438B" w:rsidRPr="009720CE" w:rsidRDefault="00607DE8" w:rsidP="00607DE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Wojciech Kosma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Epis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od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 1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(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In what kind of emotional reality would you like to live?)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D21E1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Al. Niepodległości 159</w:t>
            </w:r>
          </w:p>
        </w:tc>
      </w:tr>
      <w:tr w:rsidR="00DC13CB" w:rsidRPr="009720CE" w14:paraId="65BBB382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68A00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FE8A" w14:textId="0A6E6098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9B420" w14:textId="07E61847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FE7BE" w14:textId="1785DCFC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Wojciech Kosma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Epis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od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2 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(In what kind of emotional reality would you like to live?)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6619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Al. Niepodległości 159</w:t>
            </w:r>
          </w:p>
        </w:tc>
      </w:tr>
      <w:tr w:rsidR="00DC13CB" w:rsidRPr="009720CE" w14:paraId="6FFF12A0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267C1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335AC" w14:textId="15657D9B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EEA51" w14:textId="64E81B38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FEF4D" w14:textId="19564DF8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Wojciech Kosma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Episode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3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(In what kind of emotional reality would you like to live?)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C60EC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Al. Niepodległości 159</w:t>
            </w:r>
          </w:p>
        </w:tc>
      </w:tr>
      <w:tr w:rsidR="00DC13CB" w:rsidRPr="009720CE" w14:paraId="06E93B69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7C9D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15.10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4983" w14:textId="6E9D5F03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DC17" w14:textId="5761B0C2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B2C5C" w14:textId="2D282915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Wojciech Kosma 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Episode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4</w:t>
            </w:r>
            <w:r w:rsidR="00FE5F66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(In what kind of emotional reality would you like to live?)</w:t>
            </w:r>
            <w:r w:rsidR="00FE5F66"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17C46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Al. Niepodległości 159</w:t>
            </w:r>
          </w:p>
        </w:tc>
      </w:tr>
      <w:tr w:rsidR="00DC13CB" w:rsidRPr="009720CE" w14:paraId="6BF6BE0D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F00B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9D5D" w14:textId="3E85CF82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AE655" w14:textId="0D9FD91B" w:rsidR="00A1438B" w:rsidRPr="009720CE" w:rsidRDefault="00FE5F66" w:rsidP="00FE5F6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CONVERSATION</w:t>
            </w: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313C9" w14:textId="6107A0E1" w:rsidR="00A1438B" w:rsidRPr="009720CE" w:rsidRDefault="00FE5F66" w:rsidP="007B22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Beyond the Performance Archive 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– 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Ewa Partum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AD5BE" w14:textId="27D6D7A0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2A733CC7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5E55E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18.10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D2FAC" w14:textId="19D4D135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7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AC250" w14:textId="338B9A01" w:rsidR="00A1438B" w:rsidRPr="009720CE" w:rsidRDefault="00FE5F66" w:rsidP="007B22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LECTURE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2EF6" w14:textId="2A187B95" w:rsidR="00A1438B" w:rsidRPr="009720CE" w:rsidRDefault="00FE5F66" w:rsidP="00FE5F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Beyond the Performance Archive 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– 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T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omasz Sikorski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F5A2D" w14:textId="781AD45D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2710552E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F5C43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20.10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33221" w14:textId="164C284C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71A3E" w14:textId="02ECCE0D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DISCUSSION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98E8" w14:textId="5F31573E" w:rsidR="00A1438B" w:rsidRPr="009720CE" w:rsidRDefault="00FE5F66" w:rsidP="00FE5F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Index of Forbidden Words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–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the right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/ 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the left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4FB0F" w14:textId="3851D950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6F895209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07A50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24.10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1162A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C57ED" w14:textId="704A88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>CE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5CC95" w14:textId="766EDE9C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Pope.L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Spot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62D6C" w14:textId="1E4AEC10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</w:p>
        </w:tc>
      </w:tr>
      <w:tr w:rsidR="00DC13CB" w:rsidRPr="009720CE" w14:paraId="22E4678F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D2041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25.10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1031" w14:textId="5469EA36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F295" w14:textId="0E6BE49B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PERFORMATIVE LECTURE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F133E" w14:textId="0CC576D1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Archive of Conflict | Archive of Utopia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23EE9" w14:textId="30298650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66E898B1" w14:textId="77777777" w:rsidTr="00607DE8">
        <w:trPr>
          <w:trHeight w:val="25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5969E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26.10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FF1AE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18.00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78897" w14:textId="5C2DB605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D</w:t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ISCUSSION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FBD4E" w14:textId="6353CA30" w:rsidR="00A1438B" w:rsidRPr="009720CE" w:rsidRDefault="00FE5F66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Index of Forbidden Words – </w:t>
            </w:r>
            <w:r w:rsidRPr="009720CE">
              <w:rPr>
                <w:rFonts w:ascii="Cambria" w:hAnsi="Cambria" w:cs="Calibri"/>
                <w:b/>
                <w:bCs/>
                <w:sz w:val="18"/>
                <w:szCs w:val="18"/>
              </w:rPr>
              <w:t>“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na</w:t>
            </w: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tion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E38DF" w14:textId="4412893F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  <w:tr w:rsidR="00DC13CB" w:rsidRPr="009720CE" w14:paraId="418E3CB9" w14:textId="77777777" w:rsidTr="00607DE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6A00C" w14:textId="77777777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29.10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6B125" w14:textId="1C82F6EF" w:rsidR="00A1438B" w:rsidRPr="009720CE" w:rsidRDefault="00DD6394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6 PM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A88B" w14:textId="2BC627E2" w:rsidR="00A1438B" w:rsidRPr="009720CE" w:rsidRDefault="00A1438B" w:rsidP="000368C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>PERFORMAN</w:t>
            </w:r>
            <w:r w:rsidR="00DD6394" w:rsidRPr="009720CE">
              <w:rPr>
                <w:rFonts w:ascii="Cambria" w:hAnsi="Cambria" w:cs="Helvetica"/>
                <w:sz w:val="18"/>
                <w:szCs w:val="18"/>
              </w:rPr>
              <w:t>CE</w:t>
            </w:r>
            <w:r w:rsidR="00FE5F66" w:rsidRPr="009720CE">
              <w:rPr>
                <w:rFonts w:ascii="Cambria" w:hAnsi="Cambria" w:cs="Helvetica"/>
                <w:sz w:val="18"/>
                <w:szCs w:val="18"/>
              </w:rPr>
              <w:t xml:space="preserve"> (PL)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96A3" w14:textId="224AD47B" w:rsidR="00A1438B" w:rsidRPr="009720CE" w:rsidRDefault="00FE5F66" w:rsidP="007B22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  <w:b/>
                <w:bCs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Beyond the Performance Archive </w:t>
            </w:r>
            <w:r w:rsidR="007B223D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–</w:t>
            </w:r>
            <w:r w:rsidR="007B46E2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 xml:space="preserve"> </w:t>
            </w:r>
            <w:r w:rsidR="00A1438B" w:rsidRPr="009720CE">
              <w:rPr>
                <w:rFonts w:ascii="Cambria" w:hAnsi="Cambria" w:cs="Helvetica"/>
                <w:b/>
                <w:bCs/>
                <w:sz w:val="18"/>
                <w:szCs w:val="18"/>
              </w:rPr>
              <w:t>Roman Stańczak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BE99E" w14:textId="16281C17" w:rsidR="00A1438B" w:rsidRPr="009720CE" w:rsidRDefault="007B46E2" w:rsidP="000368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sz w:val="18"/>
                <w:szCs w:val="18"/>
              </w:rPr>
            </w:pPr>
            <w:r w:rsidRPr="009720CE">
              <w:rPr>
                <w:rFonts w:ascii="Cambria" w:hAnsi="Cambria" w:cs="Helvetica"/>
                <w:sz w:val="18"/>
                <w:szCs w:val="18"/>
              </w:rPr>
              <w:t xml:space="preserve">ul. </w:t>
            </w:r>
            <w:r w:rsidR="00A1438B" w:rsidRPr="009720CE">
              <w:rPr>
                <w:rFonts w:ascii="Cambria" w:hAnsi="Cambria" w:cs="Helvetica"/>
                <w:sz w:val="18"/>
                <w:szCs w:val="18"/>
              </w:rPr>
              <w:t>Pańska 3</w:t>
            </w:r>
          </w:p>
        </w:tc>
      </w:tr>
    </w:tbl>
    <w:p w14:paraId="08BC5575" w14:textId="77777777" w:rsidR="00A1438B" w:rsidRPr="009720CE" w:rsidRDefault="00A1438B" w:rsidP="00A1438B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2"/>
          <w:szCs w:val="22"/>
          <w:lang w:val="en-US"/>
        </w:rPr>
      </w:pPr>
    </w:p>
    <w:p w14:paraId="360B6B53" w14:textId="77777777" w:rsidR="00FE5F66" w:rsidRPr="009720CE" w:rsidRDefault="00FE5F66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bookmarkStart w:id="0" w:name="_GoBack"/>
      <w:bookmarkEnd w:id="0"/>
      <w:r w:rsidRPr="009720CE">
        <w:rPr>
          <w:rFonts w:ascii="Cambria" w:hAnsi="Cambria"/>
          <w:b/>
          <w:bCs/>
          <w:sz w:val="20"/>
          <w:szCs w:val="20"/>
          <w:lang w:val="en-US"/>
        </w:rPr>
        <w:t>On the Tip of the Tongue: Performance and the War of Words</w:t>
      </w:r>
    </w:p>
    <w:p w14:paraId="43AC199B" w14:textId="6F212521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Artists: Cara Benedetto, Wojciech Kosma, Jeremiah Day, Pope.L</w:t>
      </w:r>
    </w:p>
    <w:p w14:paraId="3C5F3762" w14:textId="01243FDF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Curators: Marta Dziewańska, Magda Lipska, Natalia Sielewicz, Monika Szczukowska</w:t>
      </w:r>
    </w:p>
    <w:p w14:paraId="478980F0" w14:textId="7D669D68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Curators of the Performance Archive: Robert Jarosz, Łukasz Mojsak, Łukasz Ronduda</w:t>
      </w:r>
    </w:p>
    <w:p w14:paraId="66B308D4" w14:textId="15D98C2F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Production: Katarzyna Białach</w:t>
      </w:r>
    </w:p>
    <w:p w14:paraId="092653ED" w14:textId="3C92D92F" w:rsidR="00A1438B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Partners: Institute of Polish Culture at the Unversity of Warsaw, Trans-Fuzja, Szustow. Kultura i Komunikacja, Studio Niepodległości 159</w:t>
      </w:r>
    </w:p>
    <w:p w14:paraId="35A9579C" w14:textId="43F72C5F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Legal advisor: CMS Law Tax</w:t>
      </w:r>
    </w:p>
    <w:p w14:paraId="68A2ADEC" w14:textId="26C58CBB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Patron of the Museum Collection: Fundacja Zwierciadło</w:t>
      </w:r>
    </w:p>
    <w:p w14:paraId="7C6E1917" w14:textId="5FF04E9A" w:rsidR="00DD6394" w:rsidRPr="009720CE" w:rsidRDefault="00DD6394" w:rsidP="007B46E2">
      <w:pPr>
        <w:shd w:val="clear" w:color="auto" w:fill="FFFFFF"/>
        <w:textAlignment w:val="baseline"/>
        <w:rPr>
          <w:rFonts w:ascii="Cambria" w:hAnsi="Cambria"/>
          <w:b/>
          <w:bCs/>
          <w:sz w:val="20"/>
          <w:szCs w:val="20"/>
          <w:lang w:val="en-US"/>
        </w:rPr>
      </w:pPr>
      <w:r w:rsidRPr="009720CE">
        <w:rPr>
          <w:rFonts w:ascii="Cambria" w:hAnsi="Cambria"/>
          <w:b/>
          <w:bCs/>
          <w:sz w:val="20"/>
          <w:szCs w:val="20"/>
          <w:lang w:val="en-US"/>
        </w:rPr>
        <w:t>Media patrons: Zwierciadło, Gazeta Wyborcza, Wyborc</w:t>
      </w:r>
      <w:r w:rsidR="00FE5F66" w:rsidRPr="009720CE">
        <w:rPr>
          <w:rFonts w:ascii="Cambria" w:hAnsi="Cambria"/>
          <w:b/>
          <w:bCs/>
          <w:sz w:val="20"/>
          <w:szCs w:val="20"/>
          <w:lang w:val="en-US"/>
        </w:rPr>
        <w:t>za.pl Warszawa, Co Jest Grane</w:t>
      </w:r>
      <w:r w:rsidRPr="009720CE">
        <w:rPr>
          <w:rFonts w:ascii="Cambria" w:hAnsi="Cambria"/>
          <w:b/>
          <w:bCs/>
          <w:sz w:val="20"/>
          <w:szCs w:val="20"/>
          <w:lang w:val="en-US"/>
        </w:rPr>
        <w:t>, TVP Kultura, TOK FM</w:t>
      </w:r>
    </w:p>
    <w:sectPr w:rsidR="00DD6394" w:rsidRPr="009720CE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5023"/>
    <w:multiLevelType w:val="hybridMultilevel"/>
    <w:tmpl w:val="39C22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0B44"/>
    <w:multiLevelType w:val="hybridMultilevel"/>
    <w:tmpl w:val="26F8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7"/>
    <w:rsid w:val="0014602D"/>
    <w:rsid w:val="001F4596"/>
    <w:rsid w:val="002D10F9"/>
    <w:rsid w:val="003D131E"/>
    <w:rsid w:val="004D236D"/>
    <w:rsid w:val="005F1C49"/>
    <w:rsid w:val="00607DE8"/>
    <w:rsid w:val="007B223D"/>
    <w:rsid w:val="007B46E2"/>
    <w:rsid w:val="00842761"/>
    <w:rsid w:val="00846006"/>
    <w:rsid w:val="009720CE"/>
    <w:rsid w:val="00A1438B"/>
    <w:rsid w:val="00BA572B"/>
    <w:rsid w:val="00C0558E"/>
    <w:rsid w:val="00C16592"/>
    <w:rsid w:val="00C50EEE"/>
    <w:rsid w:val="00CD5179"/>
    <w:rsid w:val="00D06D2E"/>
    <w:rsid w:val="00D43E7E"/>
    <w:rsid w:val="00DA145D"/>
    <w:rsid w:val="00DC13CB"/>
    <w:rsid w:val="00DD6394"/>
    <w:rsid w:val="00F60E97"/>
    <w:rsid w:val="00FA36CF"/>
    <w:rsid w:val="00FB5A17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CE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0E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7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0E9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E9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60E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51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A572B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A1438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cp:lastPrinted>2016-09-21T10:56:00Z</cp:lastPrinted>
  <dcterms:created xsi:type="dcterms:W3CDTF">2016-09-21T10:56:00Z</dcterms:created>
  <dcterms:modified xsi:type="dcterms:W3CDTF">2016-09-21T10:57:00Z</dcterms:modified>
</cp:coreProperties>
</file>