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39D1D" w14:textId="77777777" w:rsidR="00600FC8" w:rsidRDefault="00600FC8" w:rsidP="00C20FDD">
      <w:pPr>
        <w:tabs>
          <w:tab w:val="left" w:pos="0"/>
        </w:tabs>
        <w:rPr>
          <w:rFonts w:ascii="Theinhardt Regular" w:eastAsia="Theinhardt Regular" w:hAnsi="Theinhardt Regular" w:cs="Theinhardt Regular"/>
          <w:b/>
          <w:sz w:val="18"/>
          <w:szCs w:val="18"/>
        </w:rPr>
      </w:pPr>
    </w:p>
    <w:p w14:paraId="0D331DAD" w14:textId="0C5C97AE" w:rsidR="00C20FDD" w:rsidRPr="00600FC8" w:rsidRDefault="00902529" w:rsidP="00C20FDD">
      <w:pPr>
        <w:tabs>
          <w:tab w:val="left" w:pos="0"/>
        </w:tabs>
        <w:rPr>
          <w:rFonts w:ascii="Theinhardt Regular" w:eastAsia="Theinhardt Regular" w:hAnsi="Theinhardt Regular" w:cs="Theinhardt Regular"/>
          <w:b/>
          <w:sz w:val="18"/>
          <w:szCs w:val="18"/>
        </w:rPr>
      </w:pPr>
      <w:r w:rsidRPr="00902529">
        <w:rPr>
          <w:rFonts w:ascii="Theinhardt Regular" w:eastAsia="Theinhardt Regular" w:hAnsi="Theinhardt Regular" w:cs="Theinhardt Regular"/>
          <w:b/>
          <w:sz w:val="18"/>
          <w:szCs w:val="18"/>
        </w:rPr>
        <w:t xml:space="preserve">Inny Trans-Atlantyk. Sztuka kinetyczna i op-art </w:t>
      </w:r>
      <w:r w:rsidRPr="00902529">
        <w:rPr>
          <w:rFonts w:ascii="Theinhardt Regular" w:eastAsia="Theinhardt Regular" w:hAnsi="Theinhardt Regular" w:cs="Theinhardt Regular"/>
          <w:b/>
          <w:sz w:val="18"/>
          <w:szCs w:val="18"/>
        </w:rPr>
        <w:br/>
        <w:t xml:space="preserve">w Europie Wschodniej i Ameryce Łacińskiej </w:t>
      </w:r>
      <w:r w:rsidR="00FC6765">
        <w:rPr>
          <w:rFonts w:ascii="Theinhardt Regular" w:eastAsia="Theinhardt Regular" w:hAnsi="Theinhardt Regular" w:cs="Theinhardt Regular"/>
          <w:b/>
          <w:sz w:val="18"/>
          <w:szCs w:val="18"/>
        </w:rPr>
        <w:t xml:space="preserve">w latach </w:t>
      </w:r>
      <w:r w:rsidR="009C3B62">
        <w:rPr>
          <w:rFonts w:ascii="Theinhardt Regular" w:eastAsia="Theinhardt Regular" w:hAnsi="Theinhardt Regular" w:cs="Theinhardt Regular"/>
          <w:b/>
          <w:sz w:val="18"/>
          <w:szCs w:val="18"/>
        </w:rPr>
        <w:t>50. –</w:t>
      </w:r>
      <w:r w:rsidR="00FC6765" w:rsidRPr="00FC6765">
        <w:rPr>
          <w:rFonts w:ascii="Theinhardt Regular" w:eastAsia="Theinhardt Regular" w:hAnsi="Theinhardt Regular" w:cs="Theinhardt Regular"/>
          <w:b/>
          <w:sz w:val="18"/>
          <w:szCs w:val="18"/>
        </w:rPr>
        <w:t xml:space="preserve"> 70.</w:t>
      </w:r>
    </w:p>
    <w:p w14:paraId="11F2CF8F" w14:textId="548EC15B" w:rsidR="00902529" w:rsidRPr="00902529" w:rsidRDefault="00902529" w:rsidP="00902529">
      <w:pPr>
        <w:rPr>
          <w:rFonts w:ascii="Theinhardt Regular" w:hAnsi="Theinhardt Regular"/>
          <w:sz w:val="18"/>
          <w:szCs w:val="18"/>
        </w:rPr>
      </w:pPr>
      <w:r w:rsidRPr="00902529">
        <w:rPr>
          <w:rFonts w:ascii="Theinhardt Regular" w:hAnsi="Theinhardt Regular"/>
          <w:sz w:val="18"/>
          <w:szCs w:val="18"/>
        </w:rPr>
        <w:t xml:space="preserve">Muzeum Sztuki Nowoczesnej w Warszawie: 17 listopada 2017 – 11 lutego 2018 </w:t>
      </w:r>
      <w:r w:rsidRPr="00902529">
        <w:rPr>
          <w:rFonts w:ascii="Theinhardt Regular" w:hAnsi="Theinhardt Regular"/>
          <w:i/>
          <w:iCs/>
          <w:sz w:val="18"/>
          <w:szCs w:val="18"/>
        </w:rPr>
        <w:br/>
      </w:r>
      <w:r w:rsidRPr="00902529">
        <w:rPr>
          <w:rFonts w:ascii="Theinhardt Regular" w:hAnsi="Theinhardt Regular"/>
          <w:sz w:val="18"/>
          <w:szCs w:val="18"/>
        </w:rPr>
        <w:t>Muzeum Sztuki Współczesnej Garaż w Moskwie: 17 marca – 9 maja 2018</w:t>
      </w:r>
      <w:r w:rsidRPr="00902529">
        <w:rPr>
          <w:rFonts w:ascii="Theinhardt Regular" w:hAnsi="Theinhardt Regular"/>
          <w:i/>
          <w:iCs/>
          <w:sz w:val="18"/>
          <w:szCs w:val="18"/>
        </w:rPr>
        <w:br/>
      </w:r>
      <w:r w:rsidRPr="00902529">
        <w:rPr>
          <w:rFonts w:ascii="Theinhardt Regular" w:hAnsi="Theinhardt Regular"/>
          <w:sz w:val="18"/>
          <w:szCs w:val="18"/>
        </w:rPr>
        <w:t xml:space="preserve">SESC, São Paulo: </w:t>
      </w:r>
      <w:r w:rsidR="001612AE">
        <w:rPr>
          <w:rFonts w:ascii="Theinhardt Regular" w:hAnsi="Theinhardt Regular"/>
          <w:sz w:val="18"/>
          <w:szCs w:val="18"/>
        </w:rPr>
        <w:t>25 lip</w:t>
      </w:r>
      <w:r w:rsidRPr="00902529">
        <w:rPr>
          <w:rFonts w:ascii="Theinhardt Regular" w:hAnsi="Theinhardt Regular"/>
          <w:sz w:val="18"/>
          <w:szCs w:val="18"/>
        </w:rPr>
        <w:t>c</w:t>
      </w:r>
      <w:r w:rsidR="001612AE">
        <w:rPr>
          <w:rFonts w:ascii="Theinhardt Regular" w:hAnsi="Theinhardt Regular"/>
          <w:sz w:val="18"/>
          <w:szCs w:val="18"/>
        </w:rPr>
        <w:t>a – 30 września</w:t>
      </w:r>
      <w:r w:rsidRPr="00902529">
        <w:rPr>
          <w:rFonts w:ascii="Theinhardt Regular" w:hAnsi="Theinhardt Regular"/>
          <w:sz w:val="18"/>
          <w:szCs w:val="18"/>
        </w:rPr>
        <w:t xml:space="preserve"> 2018</w:t>
      </w:r>
    </w:p>
    <w:p w14:paraId="0E57C382" w14:textId="195DEE33" w:rsidR="00902529" w:rsidRDefault="00902529" w:rsidP="00600FC8">
      <w:pPr>
        <w:jc w:val="both"/>
        <w:rPr>
          <w:rFonts w:ascii="Theinhardt Regular" w:hAnsi="Theinhardt Regular"/>
          <w:sz w:val="18"/>
          <w:szCs w:val="18"/>
        </w:rPr>
      </w:pPr>
      <w:r w:rsidRPr="00902529">
        <w:rPr>
          <w:rFonts w:ascii="Theinhardt Regular" w:hAnsi="Theinhardt Regular"/>
          <w:sz w:val="18"/>
          <w:szCs w:val="18"/>
        </w:rPr>
        <w:t xml:space="preserve">Wystawa </w:t>
      </w:r>
      <w:r w:rsidRPr="00902529">
        <w:rPr>
          <w:rFonts w:ascii="Theinhardt Regular" w:hAnsi="Theinhardt Regular"/>
          <w:i/>
          <w:iCs/>
          <w:sz w:val="18"/>
          <w:szCs w:val="18"/>
        </w:rPr>
        <w:t xml:space="preserve">Inny Trans-Atlantyk. Sztuka kinetyczna i op-art w Europie Wschodniej i Ameryce Łacińskiej </w:t>
      </w:r>
      <w:r w:rsidR="00E12CD9">
        <w:rPr>
          <w:rFonts w:ascii="Theinhardt Regular" w:hAnsi="Theinhardt Regular"/>
          <w:i/>
          <w:iCs/>
          <w:sz w:val="18"/>
          <w:szCs w:val="18"/>
        </w:rPr>
        <w:t xml:space="preserve">w latach 50. – 70. </w:t>
      </w:r>
      <w:r w:rsidRPr="00902529">
        <w:rPr>
          <w:rFonts w:ascii="Theinhardt Regular" w:hAnsi="Theinhardt Regular"/>
          <w:sz w:val="18"/>
          <w:szCs w:val="18"/>
        </w:rPr>
        <w:t xml:space="preserve"> przygląda się krótkiemu, ale historycznie znaczącemu momentowi w okresie powojennym. Od późnych lat 50. do połowy lat 70.</w:t>
      </w:r>
      <w:r w:rsidR="00E12CD9">
        <w:rPr>
          <w:rFonts w:ascii="Theinhardt Regular" w:hAnsi="Theinhardt Regular"/>
          <w:sz w:val="18"/>
          <w:szCs w:val="18"/>
        </w:rPr>
        <w:t xml:space="preserve"> XX wieku</w:t>
      </w:r>
      <w:r w:rsidRPr="00902529">
        <w:rPr>
          <w:rFonts w:ascii="Theinhardt Regular" w:hAnsi="Theinhardt Regular"/>
          <w:sz w:val="18"/>
          <w:szCs w:val="18"/>
        </w:rPr>
        <w:t xml:space="preserve">, artyści Europy Wschodniej oraz Ameryki Łacińskiej ulegli wspólnemu entuzjazmowi wobec sztuki kinetycznej i op-artu. Stanowiło to rodzaj alternatywy i wyzwania dla północnoatlantyckiego mainstreamu: osi łączącej główne ośrodki artystyczne w Paryżu, Londynie oraz Nowym Jorku i wytwarzane przez nie kolejne trendy od abstrakcyjnego ekspresjonizmu, przez pop-art, minimalizm, aż po konceptualizm. W tym samym czasie, w cieniu tych mód zaczęły pojawiać się alternatywne osie łączące Warszawę, Budapeszt, Zagrzeb, Bukareszt, Moskwę, Buenos Aires, Caracas, Rio de </w:t>
      </w:r>
      <w:proofErr w:type="spellStart"/>
      <w:r w:rsidRPr="00902529">
        <w:rPr>
          <w:rFonts w:ascii="Theinhardt Regular" w:hAnsi="Theinhardt Regular"/>
          <w:sz w:val="18"/>
          <w:szCs w:val="18"/>
        </w:rPr>
        <w:t>Janeiro</w:t>
      </w:r>
      <w:proofErr w:type="spellEnd"/>
      <w:r w:rsidRPr="00902529">
        <w:rPr>
          <w:rFonts w:ascii="Theinhardt Regular" w:hAnsi="Theinhardt Regular"/>
          <w:sz w:val="18"/>
          <w:szCs w:val="18"/>
        </w:rPr>
        <w:t xml:space="preserve"> i São Paulo. Były to sieci praktyk artystycznych poświęcone zupełnie odmiennym zagadnieniom estetycznym i sytuujące się wobec wspólnego doświadczeni</w:t>
      </w:r>
      <w:r>
        <w:rPr>
          <w:rFonts w:ascii="Theinhardt Regular" w:hAnsi="Theinhardt Regular"/>
          <w:sz w:val="18"/>
          <w:szCs w:val="18"/>
        </w:rPr>
        <w:t>a politycznych totalitaryzmów.</w:t>
      </w:r>
    </w:p>
    <w:p w14:paraId="1A7DED7E" w14:textId="77777777" w:rsidR="00902529" w:rsidRDefault="00902529" w:rsidP="00600FC8">
      <w:pPr>
        <w:jc w:val="both"/>
        <w:rPr>
          <w:rFonts w:ascii="Theinhardt Regular" w:hAnsi="Theinhardt Regular"/>
          <w:sz w:val="18"/>
          <w:szCs w:val="18"/>
        </w:rPr>
      </w:pPr>
      <w:r w:rsidRPr="00902529">
        <w:rPr>
          <w:rFonts w:ascii="Theinhardt Regular" w:hAnsi="Theinhardt Regular"/>
          <w:sz w:val="18"/>
          <w:szCs w:val="18"/>
        </w:rPr>
        <w:t>Rozkwitające tam sztuka kinetyczna i op-art to znak fascynacji ruchem – jego efektami, estetyką, dynamicznymi możliwościami tworzenia nowych, interaktywnych relacji z publicznością. Ruchome realizacje, tworzone często w </w:t>
      </w:r>
      <w:proofErr w:type="spellStart"/>
      <w:r w:rsidRPr="00902529">
        <w:rPr>
          <w:rFonts w:ascii="Theinhardt Regular" w:hAnsi="Theinhardt Regular"/>
          <w:sz w:val="18"/>
          <w:szCs w:val="18"/>
        </w:rPr>
        <w:t>pluridyscyplinarnych</w:t>
      </w:r>
      <w:proofErr w:type="spellEnd"/>
      <w:r w:rsidRPr="00902529">
        <w:rPr>
          <w:rFonts w:ascii="Theinhardt Regular" w:hAnsi="Theinhardt Regular"/>
          <w:sz w:val="18"/>
          <w:szCs w:val="18"/>
        </w:rPr>
        <w:t xml:space="preserve"> zespołach łączących artystów, naukowców i inżynierów, bardziej niż mistrzowskimi, kompletnymi i gotowymi obiektami przedstawianymi publiczności do podziwiania, były dla swoich odbiorców – zarówno w muzeach, jak i w przestrzeni publicznej – rodzajem otwartej propozycji. </w:t>
      </w:r>
      <w:proofErr w:type="spellStart"/>
      <w:r w:rsidRPr="00902529">
        <w:rPr>
          <w:rFonts w:ascii="Theinhardt Regular" w:hAnsi="Theinhardt Regular"/>
          <w:sz w:val="18"/>
          <w:szCs w:val="18"/>
        </w:rPr>
        <w:t>Zdecentrowane</w:t>
      </w:r>
      <w:proofErr w:type="spellEnd"/>
      <w:r w:rsidRPr="00902529">
        <w:rPr>
          <w:rFonts w:ascii="Theinhardt Regular" w:hAnsi="Theinhardt Regular"/>
          <w:sz w:val="18"/>
          <w:szCs w:val="18"/>
        </w:rPr>
        <w:t>, nieosadzone i ciągle zmieniające swoje parametry stanowiły rodzaj eksperymentu artystycznego z szerokimi konotacjami utopii społecznej i politycznej. Sztuka kinetyczna i op-art tworzone przez artystów w Europie Wschodniej i Ameryce Łacińskiej w tym specyficznym okresie wyrażały z jednej strony świat chwiejnej równowagi, z drugiej zaś, przez fascynację nauką, nowymi technologiami i cybernetyką – rozb</w:t>
      </w:r>
      <w:r>
        <w:rPr>
          <w:rFonts w:ascii="Theinhardt Regular" w:hAnsi="Theinhardt Regular"/>
          <w:sz w:val="18"/>
          <w:szCs w:val="18"/>
        </w:rPr>
        <w:t>udzały nadzieje na przyszłość.</w:t>
      </w:r>
    </w:p>
    <w:p w14:paraId="6383C390" w14:textId="77777777" w:rsidR="00902529" w:rsidRDefault="00902529" w:rsidP="00600FC8">
      <w:pPr>
        <w:jc w:val="both"/>
        <w:rPr>
          <w:rFonts w:ascii="Theinhardt Regular" w:hAnsi="Theinhardt Regular"/>
          <w:sz w:val="18"/>
          <w:szCs w:val="18"/>
        </w:rPr>
      </w:pPr>
      <w:r w:rsidRPr="00902529">
        <w:rPr>
          <w:rFonts w:ascii="Theinhardt Regular" w:hAnsi="Theinhardt Regular"/>
          <w:sz w:val="18"/>
          <w:szCs w:val="18"/>
        </w:rPr>
        <w:t xml:space="preserve">Na wystawie zaprezentowane zostaną prace ponad trzydziestu artystów i grup artystycznych z obu stron Atlantyku, będące znakiem wspólnych zainteresowań i intuicji. Ważnym elementem wystawy będą również unikatowe materiały archiwalne. Ekspozycji towarzyszy publikacja w języku angielskim zbierająca teksty wygłoszone w ramach międzynarodowej konferencji </w:t>
      </w:r>
      <w:r w:rsidRPr="00902529">
        <w:rPr>
          <w:rFonts w:ascii="Theinhardt Regular" w:hAnsi="Theinhardt Regular"/>
          <w:i/>
          <w:iCs/>
          <w:sz w:val="18"/>
          <w:szCs w:val="18"/>
        </w:rPr>
        <w:t>Inny Transatlantyk. Sztuka kinetyczna i op-art w Europie Wschodniej i Ameryce Łacińskiej</w:t>
      </w:r>
      <w:r w:rsidRPr="00902529">
        <w:rPr>
          <w:rFonts w:ascii="Theinhardt Regular" w:hAnsi="Theinhardt Regular"/>
          <w:sz w:val="18"/>
          <w:szCs w:val="18"/>
        </w:rPr>
        <w:t xml:space="preserve"> zorganizow</w:t>
      </w:r>
      <w:r>
        <w:rPr>
          <w:rFonts w:ascii="Theinhardt Regular" w:hAnsi="Theinhardt Regular"/>
          <w:sz w:val="18"/>
          <w:szCs w:val="18"/>
        </w:rPr>
        <w:t xml:space="preserve">anej w Warszawie w 2016 roku. </w:t>
      </w:r>
    </w:p>
    <w:p w14:paraId="4FCEFF2C" w14:textId="1D5493A9" w:rsidR="00E80685" w:rsidRPr="00E80685" w:rsidRDefault="00E80685" w:rsidP="00E80685">
      <w:pPr>
        <w:spacing w:before="240"/>
        <w:jc w:val="both"/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</w:pPr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Artyści:</w:t>
      </w:r>
      <w:r w:rsidRPr="00E80685">
        <w:rPr>
          <w:rFonts w:ascii="Theinhardt Regular" w:hAnsi="Theinhardt Regular" w:cs="Helvetica"/>
          <w:color w:val="000000"/>
          <w:sz w:val="18"/>
          <w:szCs w:val="21"/>
        </w:rPr>
        <w:br/>
      </w:r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Władimir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Akulinin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Vojin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Bakić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Martha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Boto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Feliza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 Bursztyn,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Lygia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 Clark, Carlos Cruz-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Diez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Milan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Dobeš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Grupa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Dwiżenije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Wojciech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Fangor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Constantin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Flondor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Vladimir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Galkin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Oskar Hansen, Francisco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Infante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Jerzy Jarnuszkiewicz,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Julije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Knifer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Wiaczesław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Kolejczuk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Gyula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Košice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Grzegorz Kowalski, Vlado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Kristl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Julio Le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Parc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Almir da Silva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Mavignier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Grupa Mir,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Vera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 Molnar,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Lev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Nussberg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Hélio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Oiticica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Abraham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Palatnik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Andrzej Pawłowski, Grupa Prometeusz, Ivan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Picelj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Ludmiła Popiel, Wieńczysław Richter, Jerzy Rosołowicz, Mira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Schendel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Nicholas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Schöffer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Grupa Sigma,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Jesus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 Rafael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Soto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Aleksandr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Srnec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Henryk Stażewski,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Zdeněk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Sýkora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 xml:space="preserve">, Victor </w:t>
      </w:r>
      <w:proofErr w:type="spellStart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Vasarely</w:t>
      </w:r>
      <w:proofErr w:type="spellEnd"/>
      <w:r w:rsidRPr="00E80685">
        <w:rPr>
          <w:rFonts w:ascii="Theinhardt Regular" w:hAnsi="Theinhardt Regular" w:cs="Helvetica"/>
          <w:color w:val="000000"/>
          <w:sz w:val="18"/>
          <w:szCs w:val="21"/>
          <w:shd w:val="clear" w:color="auto" w:fill="FFFFFF"/>
        </w:rPr>
        <w:t>, Magdalena Więcek, Ryszard Winiarski.</w:t>
      </w:r>
    </w:p>
    <w:p w14:paraId="0F7B6375" w14:textId="77777777" w:rsidR="00E80685" w:rsidRDefault="00E80685" w:rsidP="00C20FD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05079C4B" w14:textId="77777777" w:rsidR="00E80685" w:rsidRDefault="00E80685" w:rsidP="00C20FDD">
      <w:pPr>
        <w:rPr>
          <w:rFonts w:ascii="Theinhardt Regular" w:hAnsi="Theinhardt Regular"/>
          <w:sz w:val="18"/>
          <w:szCs w:val="18"/>
        </w:rPr>
      </w:pPr>
    </w:p>
    <w:p w14:paraId="7854F7B5" w14:textId="77777777" w:rsidR="00E80685" w:rsidRDefault="00E80685" w:rsidP="00C20FDD">
      <w:pPr>
        <w:rPr>
          <w:rFonts w:ascii="Theinhardt Regular" w:hAnsi="Theinhardt Regular"/>
          <w:sz w:val="18"/>
          <w:szCs w:val="18"/>
        </w:rPr>
      </w:pPr>
    </w:p>
    <w:p w14:paraId="6C02543A" w14:textId="77777777" w:rsidR="00E80685" w:rsidRDefault="00E80685" w:rsidP="00C20FDD">
      <w:pPr>
        <w:rPr>
          <w:rFonts w:ascii="Theinhardt Regular" w:hAnsi="Theinhardt Regular"/>
          <w:sz w:val="18"/>
          <w:szCs w:val="18"/>
        </w:rPr>
      </w:pPr>
    </w:p>
    <w:p w14:paraId="70D53F68" w14:textId="4B62B85D" w:rsidR="00BC7595" w:rsidRDefault="00902529" w:rsidP="00E80685">
      <w:pPr>
        <w:spacing w:after="0"/>
        <w:rPr>
          <w:rFonts w:ascii="Theinhardt Regular" w:hAnsi="Theinhardt Regular"/>
          <w:sz w:val="18"/>
          <w:szCs w:val="18"/>
        </w:rPr>
      </w:pPr>
      <w:r w:rsidRPr="00902529">
        <w:rPr>
          <w:rFonts w:ascii="Theinhardt Regular" w:hAnsi="Theinhardt Regular"/>
          <w:sz w:val="18"/>
          <w:szCs w:val="18"/>
        </w:rPr>
        <w:lastRenderedPageBreak/>
        <w:t>Współorganizatorzy wystawy</w:t>
      </w:r>
      <w:bookmarkStart w:id="0" w:name="_GoBack"/>
      <w:bookmarkEnd w:id="0"/>
      <w:r w:rsidRPr="00902529">
        <w:rPr>
          <w:rFonts w:ascii="Theinhardt Regular" w:hAnsi="Theinhardt Regular"/>
          <w:sz w:val="18"/>
          <w:szCs w:val="18"/>
        </w:rPr>
        <w:t>: Muzeum Sztuki Współczesnej Garaż w Moskwie; SESC São Paulo</w:t>
      </w:r>
      <w:r w:rsidRPr="00902529">
        <w:rPr>
          <w:rFonts w:ascii="Theinhardt Regular" w:hAnsi="Theinhardt Regular"/>
          <w:sz w:val="18"/>
          <w:szCs w:val="18"/>
        </w:rPr>
        <w:br/>
        <w:t>Partnerzy wystawy: Instytut Adama Mickiewicza, Monoskop, Galeria Nara Roesler</w:t>
      </w:r>
      <w:r w:rsidRPr="00902529">
        <w:rPr>
          <w:rFonts w:ascii="Theinhardt Regular" w:hAnsi="Theinhardt Regular"/>
          <w:sz w:val="18"/>
          <w:szCs w:val="18"/>
        </w:rPr>
        <w:br/>
      </w:r>
    </w:p>
    <w:p w14:paraId="2547A32A" w14:textId="484B361C" w:rsidR="00E80685" w:rsidRDefault="00E80685" w:rsidP="00E80685">
      <w:pPr>
        <w:spacing w:after="0"/>
        <w:rPr>
          <w:rFonts w:ascii="Theinhardt Regular" w:hAnsi="Theinhardt Regular"/>
          <w:sz w:val="18"/>
          <w:szCs w:val="18"/>
        </w:rPr>
      </w:pPr>
    </w:p>
    <w:p w14:paraId="08679E53" w14:textId="4E9F7D38" w:rsidR="00E80685" w:rsidRDefault="00E80685" w:rsidP="00E80685">
      <w:pPr>
        <w:spacing w:after="0" w:line="240" w:lineRule="auto"/>
        <w:rPr>
          <w:rFonts w:ascii="Theinhardt Regular" w:hAnsi="Theinhardt Regular"/>
          <w:b/>
          <w:sz w:val="18"/>
          <w:szCs w:val="18"/>
        </w:rPr>
      </w:pPr>
      <w:r w:rsidRPr="00E80685">
        <w:rPr>
          <w:rFonts w:ascii="Theinhardt Regular" w:hAnsi="Theinhardt Regular"/>
          <w:b/>
          <w:sz w:val="18"/>
          <w:szCs w:val="18"/>
        </w:rPr>
        <w:t>KOLOFON</w:t>
      </w:r>
    </w:p>
    <w:p w14:paraId="5793A53C" w14:textId="77777777" w:rsidR="00E80685" w:rsidRPr="00E80685" w:rsidRDefault="00E80685" w:rsidP="00E80685">
      <w:pPr>
        <w:spacing w:after="0" w:line="240" w:lineRule="auto"/>
        <w:rPr>
          <w:rFonts w:ascii="Theinhardt Regular" w:hAnsi="Theinhardt Regular"/>
          <w:b/>
          <w:sz w:val="18"/>
          <w:szCs w:val="18"/>
        </w:rPr>
      </w:pPr>
    </w:p>
    <w:p w14:paraId="11F171A7" w14:textId="68BD7773" w:rsidR="00E80685" w:rsidRP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  <w:t>Zespół kuratorski:</w:t>
      </w:r>
    </w:p>
    <w:p w14:paraId="3AA9B066" w14:textId="48FA7D37" w:rsidR="00E80685" w:rsidRPr="00E80685" w:rsidRDefault="00E80685" w:rsidP="00E80685">
      <w:pPr>
        <w:shd w:val="clear" w:color="auto" w:fill="FFFFFF"/>
        <w:spacing w:after="0" w:line="240" w:lineRule="auto"/>
        <w:textAlignment w:val="baseline"/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Marta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Dziewańska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, Dieter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Roelstraete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,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Abigail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 Winograd</w:t>
      </w:r>
    </w:p>
    <w:p w14:paraId="3379B113" w14:textId="77777777" w:rsid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</w:p>
    <w:p w14:paraId="3ADF9FE5" w14:textId="2031D9B5" w:rsidR="00E80685" w:rsidRP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  <w:t xml:space="preserve">Produkcja i </w:t>
      </w:r>
      <w:proofErr w:type="spellStart"/>
      <w:r w:rsidRPr="00E80685"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  <w:t>research</w:t>
      </w:r>
      <w:proofErr w:type="spellEnd"/>
      <w:r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  <w:t>:</w:t>
      </w:r>
    </w:p>
    <w:p w14:paraId="4AC4564D" w14:textId="36AAAA6C" w:rsidR="00E80685" w:rsidRDefault="00E80685" w:rsidP="00E80685">
      <w:pPr>
        <w:shd w:val="clear" w:color="auto" w:fill="FFFFFF"/>
        <w:spacing w:after="0" w:line="240" w:lineRule="auto"/>
        <w:textAlignment w:val="baseline"/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Szymon Żydek</w:t>
      </w:r>
    </w:p>
    <w:p w14:paraId="7A0D0026" w14:textId="77777777" w:rsid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</w:p>
    <w:p w14:paraId="6C225640" w14:textId="4771F691" w:rsidR="00E80685" w:rsidRP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  <w:t>Współpraca:</w:t>
      </w:r>
    </w:p>
    <w:p w14:paraId="61CA2C78" w14:textId="05148DD9" w:rsidR="00E80685" w:rsidRDefault="00E80685" w:rsidP="00E80685">
      <w:pPr>
        <w:shd w:val="clear" w:color="auto" w:fill="FFFFFF"/>
        <w:spacing w:after="0" w:line="240" w:lineRule="auto"/>
        <w:textAlignment w:val="baseline"/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</w:pP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Snejana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Krasteva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,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Sasha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Obukhova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, Alina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Serban</w:t>
      </w:r>
      <w:proofErr w:type="spellEnd"/>
    </w:p>
    <w:p w14:paraId="2395B29E" w14:textId="77777777" w:rsid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</w:p>
    <w:p w14:paraId="370E1671" w14:textId="5FCBAC16" w:rsidR="00E80685" w:rsidRP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  <w:t>Architektura wystawy: </w:t>
      </w:r>
    </w:p>
    <w:p w14:paraId="12115B04" w14:textId="1107014D" w:rsidR="00E80685" w:rsidRDefault="00E80685" w:rsidP="00E80685">
      <w:pPr>
        <w:shd w:val="clear" w:color="auto" w:fill="FFFFFF"/>
        <w:spacing w:after="0" w:line="240" w:lineRule="auto"/>
        <w:textAlignment w:val="baseline"/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Marcin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Kwietowicz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, Magdalena Romanowska</w:t>
      </w:r>
    </w:p>
    <w:p w14:paraId="2352859F" w14:textId="77777777" w:rsid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</w:p>
    <w:p w14:paraId="67E48E31" w14:textId="40F21D15" w:rsidR="00E80685" w:rsidRP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  <w:t>Projekt konstrukcyjny:</w:t>
      </w:r>
    </w:p>
    <w:p w14:paraId="2456A8C3" w14:textId="456D552F" w:rsidR="00E80685" w:rsidRDefault="00E80685" w:rsidP="00E80685">
      <w:pPr>
        <w:shd w:val="clear" w:color="auto" w:fill="FFFFFF"/>
        <w:spacing w:after="0" w:line="240" w:lineRule="auto"/>
        <w:textAlignment w:val="baseline"/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Daniel Przybyłek</w:t>
      </w:r>
    </w:p>
    <w:p w14:paraId="275E7DA8" w14:textId="77777777" w:rsid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</w:p>
    <w:p w14:paraId="35B3C617" w14:textId="3ABE08A5" w:rsidR="00E80685" w:rsidRP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  <w:t>Identyfikacja wizualna wystawy:</w:t>
      </w:r>
    </w:p>
    <w:p w14:paraId="0E256550" w14:textId="1EFBBE3E" w:rsidR="00E80685" w:rsidRDefault="00E80685" w:rsidP="00E80685">
      <w:pPr>
        <w:shd w:val="clear" w:color="auto" w:fill="FFFFFF"/>
        <w:spacing w:after="0" w:line="240" w:lineRule="auto"/>
        <w:textAlignment w:val="baseline"/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Jakub de Barbaro (teksty), Paweł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Olszczyński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 (witryny),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noviki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 </w:t>
      </w:r>
      <w:r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(projekty outdoorowe)</w:t>
      </w:r>
    </w:p>
    <w:p w14:paraId="077EBC2D" w14:textId="77777777" w:rsid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</w:p>
    <w:p w14:paraId="786E63E7" w14:textId="6F075618" w:rsidR="00E80685" w:rsidRP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  <w:t>Projekt plakatu:</w:t>
      </w:r>
    </w:p>
    <w:p w14:paraId="32543835" w14:textId="755F834C" w:rsidR="00E80685" w:rsidRDefault="00E80685" w:rsidP="00E80685">
      <w:pPr>
        <w:shd w:val="clear" w:color="auto" w:fill="FFFFFF"/>
        <w:spacing w:after="0" w:line="240" w:lineRule="auto"/>
        <w:textAlignment w:val="baseline"/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</w:pP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Ludovic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Balland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Typography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Cabinet</w:t>
      </w:r>
      <w:proofErr w:type="spellEnd"/>
    </w:p>
    <w:p w14:paraId="0AFF9CF3" w14:textId="77777777" w:rsid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</w:p>
    <w:p w14:paraId="75E56B68" w14:textId="2405BBBA" w:rsidR="00E80685" w:rsidRP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  <w:t>Teksty prezentujące sylwetki artystów:</w:t>
      </w:r>
    </w:p>
    <w:p w14:paraId="7ED99CAD" w14:textId="5E7B1DAE" w:rsidR="00E80685" w:rsidRDefault="00E80685" w:rsidP="00E80685">
      <w:pPr>
        <w:shd w:val="clear" w:color="auto" w:fill="FFFFFF"/>
        <w:spacing w:after="0" w:line="240" w:lineRule="auto"/>
        <w:textAlignment w:val="baseline"/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Magdalena Roszkowska</w:t>
      </w:r>
    </w:p>
    <w:p w14:paraId="0327030C" w14:textId="77777777" w:rsid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</w:p>
    <w:p w14:paraId="74B3C8AE" w14:textId="0B34C99B" w:rsidR="00E80685" w:rsidRP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  <w:t>Tłumaczenia na język angielski: </w:t>
      </w:r>
    </w:p>
    <w:p w14:paraId="626B906F" w14:textId="14B221BA" w:rsidR="00E80685" w:rsidRDefault="00E80685" w:rsidP="00E80685">
      <w:pPr>
        <w:shd w:val="clear" w:color="auto" w:fill="FFFFFF"/>
        <w:spacing w:after="0" w:line="240" w:lineRule="auto"/>
        <w:textAlignment w:val="baseline"/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Agnes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Monod-Gayraud</w:t>
      </w:r>
      <w:proofErr w:type="spellEnd"/>
    </w:p>
    <w:p w14:paraId="1B4E53F8" w14:textId="77777777" w:rsid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</w:p>
    <w:p w14:paraId="55924A0D" w14:textId="0AAC9EA2" w:rsidR="00E80685" w:rsidRP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  <w:t>Realizacja architektury: </w:t>
      </w:r>
    </w:p>
    <w:p w14:paraId="422AEE9E" w14:textId="412DD57A" w:rsidR="00E80685" w:rsidRDefault="00E80685" w:rsidP="00E80685">
      <w:pPr>
        <w:shd w:val="clear" w:color="auto" w:fill="FFFFFF"/>
        <w:spacing w:after="0" w:line="240" w:lineRule="auto"/>
        <w:textAlignment w:val="baseline"/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Studio Alena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Trafimava</w:t>
      </w:r>
      <w:proofErr w:type="spellEnd"/>
    </w:p>
    <w:p w14:paraId="16380F31" w14:textId="77777777" w:rsid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</w:p>
    <w:p w14:paraId="0A9021BC" w14:textId="26F81486" w:rsidR="00E80685" w:rsidRP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  <w:t>Realizacja wystawy:</w:t>
      </w:r>
    </w:p>
    <w:p w14:paraId="18463C10" w14:textId="0F1AC29F" w:rsidR="00E80685" w:rsidRDefault="00E80685" w:rsidP="00E80685">
      <w:pPr>
        <w:shd w:val="clear" w:color="auto" w:fill="FFFFFF"/>
        <w:spacing w:after="0" w:line="240" w:lineRule="auto"/>
        <w:textAlignment w:val="baseline"/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Jakub Antosz, Marek Franczak, Piotr Frysztak, Szymon Ignatowicz, Jan Jurkiewicz, Paweł Sobczak, Marcin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Szubiak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, Michał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Ziętek</w:t>
      </w:r>
      <w:proofErr w:type="spellEnd"/>
    </w:p>
    <w:p w14:paraId="74CB60D9" w14:textId="77777777" w:rsid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</w:p>
    <w:p w14:paraId="5DAFBD93" w14:textId="7FAB96F6" w:rsidR="00E80685" w:rsidRPr="00E80685" w:rsidRDefault="00E80685" w:rsidP="00E80685">
      <w:pPr>
        <w:shd w:val="clear" w:color="auto" w:fill="FFFFFF"/>
        <w:spacing w:after="0" w:line="240" w:lineRule="auto"/>
        <w:textAlignment w:val="baseline"/>
        <w:outlineLvl w:val="2"/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b/>
          <w:color w:val="000000"/>
          <w:sz w:val="18"/>
          <w:szCs w:val="18"/>
          <w:lang w:eastAsia="pl-PL"/>
        </w:rPr>
        <w:t>Współpraca:</w:t>
      </w:r>
    </w:p>
    <w:p w14:paraId="3A088A2B" w14:textId="77777777" w:rsidR="00E80685" w:rsidRPr="00E80685" w:rsidRDefault="00E80685" w:rsidP="00E80685">
      <w:pPr>
        <w:shd w:val="clear" w:color="auto" w:fill="FFFFFF"/>
        <w:spacing w:after="0" w:line="240" w:lineRule="auto"/>
        <w:textAlignment w:val="baseline"/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</w:pPr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Sylwia Borowska, Magdalena Drągowska, Anna Gajek, Martyna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Gart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, Anna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Tryc-Bromley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, Daniel Woźniak,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Meagan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 Down, Wiktor Kazimierczak, Michał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Kożurno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, Agnieszka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Kosela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, Mateusz Maleszewski, Marta Maliszewska, Marta Skowrońska-Markiewicz, Bartosz Stawiarski, Marta Styczeń,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Kacha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 Szaniawska,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Katia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 xml:space="preserve"> Szczeka, Michał </w:t>
      </w:r>
      <w:proofErr w:type="spellStart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Szymko</w:t>
      </w:r>
      <w:proofErr w:type="spellEnd"/>
      <w:r w:rsidRPr="00E80685">
        <w:rPr>
          <w:rFonts w:ascii="Theinhardt Regular" w:eastAsia="Times New Roman" w:hAnsi="Theinhardt Regular" w:cs="Helvetica"/>
          <w:color w:val="000000"/>
          <w:sz w:val="18"/>
          <w:szCs w:val="18"/>
          <w:lang w:eastAsia="pl-PL"/>
        </w:rPr>
        <w:t>, Joanna Turek, Iga Winczakiewicz, Katarzyna Witt, Daniel Woźniak</w:t>
      </w:r>
    </w:p>
    <w:p w14:paraId="69AB552D" w14:textId="77777777" w:rsidR="00E80685" w:rsidRPr="00902529" w:rsidRDefault="00E80685" w:rsidP="00E80685">
      <w:pPr>
        <w:spacing w:after="0" w:line="240" w:lineRule="auto"/>
        <w:rPr>
          <w:rFonts w:ascii="Theinhardt Regular" w:hAnsi="Theinhardt Regular"/>
          <w:sz w:val="18"/>
          <w:szCs w:val="18"/>
        </w:rPr>
      </w:pPr>
    </w:p>
    <w:sectPr w:rsidR="00E80685" w:rsidRPr="00902529" w:rsidSect="0080336D">
      <w:headerReference w:type="default" r:id="rId7"/>
      <w:footerReference w:type="default" r:id="rId8"/>
      <w:pgSz w:w="11906" w:h="16838"/>
      <w:pgMar w:top="1827" w:right="170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B356B" w14:textId="77777777" w:rsidR="00F652AD" w:rsidRDefault="00F652AD" w:rsidP="00C20FDD">
      <w:pPr>
        <w:spacing w:after="0" w:line="240" w:lineRule="auto"/>
      </w:pPr>
      <w:r>
        <w:separator/>
      </w:r>
    </w:p>
  </w:endnote>
  <w:endnote w:type="continuationSeparator" w:id="0">
    <w:p w14:paraId="4D9F5269" w14:textId="77777777" w:rsidR="00F652AD" w:rsidRDefault="00F652AD" w:rsidP="00C2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2DD27" w14:textId="77777777" w:rsidR="00C20FDD" w:rsidRDefault="00C20FDD">
    <w:pPr>
      <w:pStyle w:val="Stopka"/>
    </w:pPr>
    <w:r w:rsidRPr="00777E39">
      <w:rPr>
        <w:rFonts w:ascii="Theinhardt Regular" w:hAnsi="Theinhardt Regular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33B7F8B" wp14:editId="53A0307E">
          <wp:simplePos x="0" y="0"/>
          <wp:positionH relativeFrom="column">
            <wp:posOffset>-800100</wp:posOffset>
          </wp:positionH>
          <wp:positionV relativeFrom="page">
            <wp:posOffset>9864725</wp:posOffset>
          </wp:positionV>
          <wp:extent cx="3204210" cy="38989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lelemty_stopka_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21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9E59E" w14:textId="77777777" w:rsidR="00F652AD" w:rsidRDefault="00F652AD" w:rsidP="00C20FDD">
      <w:pPr>
        <w:spacing w:after="0" w:line="240" w:lineRule="auto"/>
      </w:pPr>
      <w:r>
        <w:separator/>
      </w:r>
    </w:p>
  </w:footnote>
  <w:footnote w:type="continuationSeparator" w:id="0">
    <w:p w14:paraId="3886FB5B" w14:textId="77777777" w:rsidR="00F652AD" w:rsidRDefault="00F652AD" w:rsidP="00C2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8667C" w14:textId="77777777" w:rsidR="00C20FDD" w:rsidRPr="00C20FDD" w:rsidRDefault="00C20FDD" w:rsidP="00C20FDD">
    <w:pPr>
      <w:pStyle w:val="Nagwek"/>
    </w:pPr>
    <w:r w:rsidRPr="00777E39">
      <w:rPr>
        <w:rFonts w:ascii="Theinhardt Regular" w:hAnsi="Theinhardt Regular" w:cs="Times New Roman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53E72845" wp14:editId="1C2436C1">
          <wp:simplePos x="0" y="0"/>
          <wp:positionH relativeFrom="column">
            <wp:posOffset>-800100</wp:posOffset>
          </wp:positionH>
          <wp:positionV relativeFrom="page">
            <wp:posOffset>263525</wp:posOffset>
          </wp:positionV>
          <wp:extent cx="571500" cy="802640"/>
          <wp:effectExtent l="0" t="0" r="12700" b="10160"/>
          <wp:wrapThrough wrapText="bothSides">
            <wp:wrapPolygon edited="0">
              <wp:start x="0" y="0"/>
              <wp:lineTo x="0" y="21190"/>
              <wp:lineTo x="21120" y="21190"/>
              <wp:lineTo x="21120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elemty_log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E0"/>
    <w:rsid w:val="000E2632"/>
    <w:rsid w:val="001040A6"/>
    <w:rsid w:val="001612AE"/>
    <w:rsid w:val="001E6F17"/>
    <w:rsid w:val="001F4446"/>
    <w:rsid w:val="0022737E"/>
    <w:rsid w:val="002B0692"/>
    <w:rsid w:val="005E61E5"/>
    <w:rsid w:val="00600FC8"/>
    <w:rsid w:val="00626ED8"/>
    <w:rsid w:val="006B4532"/>
    <w:rsid w:val="00755D6E"/>
    <w:rsid w:val="00777E39"/>
    <w:rsid w:val="007A5D7B"/>
    <w:rsid w:val="0080336D"/>
    <w:rsid w:val="0087706E"/>
    <w:rsid w:val="00902529"/>
    <w:rsid w:val="009C3B62"/>
    <w:rsid w:val="00A962ED"/>
    <w:rsid w:val="00AD4069"/>
    <w:rsid w:val="00B328E0"/>
    <w:rsid w:val="00BC7595"/>
    <w:rsid w:val="00BC7D4D"/>
    <w:rsid w:val="00C20FDD"/>
    <w:rsid w:val="00E12CD9"/>
    <w:rsid w:val="00E80685"/>
    <w:rsid w:val="00ED0308"/>
    <w:rsid w:val="00ED0C07"/>
    <w:rsid w:val="00F652AD"/>
    <w:rsid w:val="00FC6765"/>
    <w:rsid w:val="00FD0E28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E31EB"/>
  <w15:docId w15:val="{D9850C10-38A1-4486-BDEC-F28E21CE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80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D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FDD"/>
  </w:style>
  <w:style w:type="paragraph" w:styleId="Stopka">
    <w:name w:val="footer"/>
    <w:basedOn w:val="Normalny"/>
    <w:link w:val="StopkaZnak"/>
    <w:uiPriority w:val="99"/>
    <w:unhideWhenUsed/>
    <w:rsid w:val="00C2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FDD"/>
  </w:style>
  <w:style w:type="character" w:customStyle="1" w:styleId="Nagwek3Znak">
    <w:name w:val="Nagłówek 3 Znak"/>
    <w:basedOn w:val="Domylnaczcionkaakapitu"/>
    <w:link w:val="Nagwek3"/>
    <w:uiPriority w:val="9"/>
    <w:rsid w:val="00E806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FA9B-21E5-43FB-9141-FA9CE77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Winczakiewicz</dc:creator>
  <cp:keywords/>
  <dc:description/>
  <cp:lastModifiedBy>Iga Winczakiewicz</cp:lastModifiedBy>
  <cp:revision>14</cp:revision>
  <cp:lastPrinted>2017-09-20T07:41:00Z</cp:lastPrinted>
  <dcterms:created xsi:type="dcterms:W3CDTF">2017-06-13T14:15:00Z</dcterms:created>
  <dcterms:modified xsi:type="dcterms:W3CDTF">2017-11-13T18:51:00Z</dcterms:modified>
</cp:coreProperties>
</file>