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12"/>
      </w:tblGrid>
      <w:tr w:rsidR="0046720B" w14:paraId="081390B2" w14:textId="77777777" w:rsidTr="00E62599">
        <w:tc>
          <w:tcPr>
            <w:tcW w:w="3397" w:type="dxa"/>
          </w:tcPr>
          <w:p w14:paraId="45C8CAB0" w14:textId="2CB20CC2" w:rsidR="0046720B" w:rsidRDefault="00B3695E" w:rsidP="006A0821">
            <w:pPr>
              <w:jc w:val="both"/>
              <w:rPr>
                <w:rFonts w:ascii="Theinhardt Regular" w:eastAsia="Times New Roman" w:hAnsi="Theinhardt Regular" w:cs="Arial"/>
                <w:iCs/>
                <w:sz w:val="22"/>
                <w:szCs w:val="22"/>
                <w:lang w:eastAsia="pl-PL"/>
              </w:rPr>
            </w:pPr>
            <w:r>
              <w:rPr>
                <w:rFonts w:ascii="Theinhardt Regular" w:eastAsia="Times New Roman" w:hAnsi="Theinhardt Regular" w:cs="Arial"/>
                <w:iCs/>
                <w:sz w:val="22"/>
                <w:szCs w:val="22"/>
                <w:lang w:eastAsia="pl-PL"/>
              </w:rPr>
              <w:pict w14:anchorId="4037DF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74.75pt">
                  <v:imagedata r:id="rId5" o:title="logo_Muzeum_PL_wysokie_M_HQ"/>
                </v:shape>
              </w:pict>
            </w:r>
          </w:p>
        </w:tc>
        <w:tc>
          <w:tcPr>
            <w:tcW w:w="5812" w:type="dxa"/>
          </w:tcPr>
          <w:p w14:paraId="607B646F" w14:textId="77777777" w:rsidR="0046720B" w:rsidRPr="00C06DB6" w:rsidRDefault="0046720B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iCs/>
                <w:sz w:val="32"/>
                <w:szCs w:val="22"/>
                <w:lang w:eastAsia="pl-PL"/>
              </w:rPr>
            </w:pPr>
            <w:r w:rsidRPr="00C06DB6">
              <w:rPr>
                <w:rFonts w:ascii="Theinhardt Regular" w:eastAsia="Times New Roman" w:hAnsi="Theinhardt Regular" w:cs="Arial"/>
                <w:b/>
                <w:iCs/>
                <w:sz w:val="32"/>
                <w:szCs w:val="22"/>
                <w:lang w:eastAsia="pl-PL"/>
              </w:rPr>
              <w:t>Wiek półcienia</w:t>
            </w:r>
          </w:p>
          <w:p w14:paraId="45F9A71D" w14:textId="0736E853" w:rsidR="0046720B" w:rsidRPr="00C06DB6" w:rsidRDefault="0046720B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 w:val="32"/>
                <w:szCs w:val="22"/>
                <w:lang w:eastAsia="pl-PL"/>
              </w:rPr>
            </w:pPr>
            <w:r w:rsidRPr="00C06DB6">
              <w:rPr>
                <w:rFonts w:ascii="Theinhardt Regular" w:eastAsia="Times New Roman" w:hAnsi="Theinhardt Regular" w:cs="Arial"/>
                <w:b/>
                <w:iCs/>
                <w:sz w:val="32"/>
                <w:szCs w:val="22"/>
                <w:lang w:eastAsia="pl-PL"/>
              </w:rPr>
              <w:t>Sztuka w czasach planetarnej zmiany</w:t>
            </w:r>
          </w:p>
          <w:p w14:paraId="43FB23D1" w14:textId="77777777" w:rsidR="00C06DB6" w:rsidRDefault="00C06DB6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 w:val="28"/>
                <w:szCs w:val="22"/>
                <w:lang w:eastAsia="pl-PL"/>
              </w:rPr>
            </w:pPr>
          </w:p>
          <w:p w14:paraId="794E77CA" w14:textId="77777777" w:rsidR="00C06DB6" w:rsidRPr="00C06DB6" w:rsidRDefault="0046720B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  <w:r w:rsidRPr="00C06DB6"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  <w:t>20.03. – 7.06.2020</w:t>
            </w:r>
          </w:p>
          <w:p w14:paraId="72CC3977" w14:textId="6365D053" w:rsidR="00C06DB6" w:rsidRDefault="00C06DB6" w:rsidP="00C06DB6">
            <w:pPr>
              <w:shd w:val="clear" w:color="auto" w:fill="FFFFFF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</w:p>
          <w:p w14:paraId="53F5FD95" w14:textId="77777777" w:rsidR="00581896" w:rsidRDefault="00581896" w:rsidP="00C06DB6">
            <w:pPr>
              <w:shd w:val="clear" w:color="auto" w:fill="FFFFFF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</w:p>
          <w:p w14:paraId="76516D9B" w14:textId="2D45E82A" w:rsidR="00C06DB6" w:rsidRDefault="00C06DB6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</w:p>
          <w:p w14:paraId="6DE863E1" w14:textId="77777777" w:rsidR="00C06DB6" w:rsidRDefault="00C06DB6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</w:p>
          <w:p w14:paraId="58351C20" w14:textId="1FC57CCC" w:rsidR="0046720B" w:rsidRPr="00C06DB6" w:rsidRDefault="0046720B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</w:pPr>
            <w:r w:rsidRPr="00C06DB6"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  <w:t>Muzeum Sztuki Nowoczesnej w Warszawie</w:t>
            </w:r>
          </w:p>
          <w:p w14:paraId="0884CA0D" w14:textId="77777777" w:rsidR="0046720B" w:rsidRPr="0046720B" w:rsidRDefault="0046720B" w:rsidP="0046720B">
            <w:pPr>
              <w:shd w:val="clear" w:color="auto" w:fill="FFFFFF"/>
              <w:jc w:val="right"/>
              <w:rPr>
                <w:rFonts w:ascii="Theinhardt Regular" w:eastAsia="Times New Roman" w:hAnsi="Theinhardt Regular" w:cs="Arial"/>
                <w:b/>
                <w:sz w:val="22"/>
                <w:szCs w:val="22"/>
                <w:lang w:eastAsia="pl-PL"/>
              </w:rPr>
            </w:pPr>
            <w:r w:rsidRPr="00C06DB6">
              <w:rPr>
                <w:rFonts w:ascii="Theinhardt Regular" w:eastAsia="Times New Roman" w:hAnsi="Theinhardt Regular" w:cs="Arial"/>
                <w:b/>
                <w:szCs w:val="22"/>
                <w:lang w:eastAsia="pl-PL"/>
              </w:rPr>
              <w:t>Wybrzeże Kościuszkowskie 22</w:t>
            </w:r>
          </w:p>
          <w:p w14:paraId="431497E2" w14:textId="77777777" w:rsidR="0046720B" w:rsidRDefault="0046720B" w:rsidP="0046720B">
            <w:pPr>
              <w:jc w:val="right"/>
              <w:rPr>
                <w:rFonts w:ascii="Theinhardt Regular" w:eastAsia="Times New Roman" w:hAnsi="Theinhardt Regular" w:cs="Arial"/>
                <w:iCs/>
                <w:sz w:val="22"/>
                <w:szCs w:val="22"/>
                <w:lang w:eastAsia="pl-PL"/>
              </w:rPr>
            </w:pPr>
          </w:p>
        </w:tc>
      </w:tr>
    </w:tbl>
    <w:p w14:paraId="69963D39" w14:textId="77777777" w:rsidR="0046720B" w:rsidRPr="0046720B" w:rsidRDefault="0046720B" w:rsidP="006A0821">
      <w:pPr>
        <w:shd w:val="clear" w:color="auto" w:fill="FFFFFF"/>
        <w:jc w:val="both"/>
        <w:rPr>
          <w:rFonts w:ascii="Theinhardt Regular" w:eastAsia="Times New Roman" w:hAnsi="Theinhardt Regular" w:cs="Arial"/>
          <w:iCs/>
          <w:sz w:val="22"/>
          <w:szCs w:val="22"/>
          <w:lang w:eastAsia="pl-PL"/>
        </w:rPr>
      </w:pPr>
    </w:p>
    <w:p w14:paraId="0D684D0D" w14:textId="7DA9E054" w:rsidR="007437DF" w:rsidRPr="00095137" w:rsidRDefault="007437DF" w:rsidP="006A0821">
      <w:pPr>
        <w:shd w:val="clear" w:color="auto" w:fill="FFFFFF"/>
        <w:jc w:val="both"/>
        <w:rPr>
          <w:rFonts w:ascii="Theinhardt Regular" w:eastAsia="Times New Roman" w:hAnsi="Theinhardt Regular" w:cs="Arial"/>
          <w:sz w:val="22"/>
          <w:szCs w:val="22"/>
          <w:lang w:eastAsia="pl-PL"/>
        </w:rPr>
      </w:pPr>
      <w:r w:rsidRPr="00095137">
        <w:rPr>
          <w:rFonts w:ascii="Theinhardt Regular" w:eastAsia="Times New Roman" w:hAnsi="Theinhardt Regular" w:cs="Arial"/>
          <w:sz w:val="22"/>
          <w:szCs w:val="22"/>
          <w:lang w:eastAsia="pl-PL"/>
        </w:rPr>
        <w:t> </w:t>
      </w:r>
    </w:p>
    <w:p w14:paraId="7560AF15" w14:textId="77777777" w:rsidR="007437DF" w:rsidRPr="00095137" w:rsidRDefault="007437DF" w:rsidP="006A0821">
      <w:pPr>
        <w:shd w:val="clear" w:color="auto" w:fill="FFFFFF"/>
        <w:ind w:firstLine="708"/>
        <w:jc w:val="both"/>
        <w:rPr>
          <w:rFonts w:ascii="Theinhardt Regular" w:eastAsia="Times New Roman" w:hAnsi="Theinhardt Regular" w:cs="Arial"/>
          <w:sz w:val="22"/>
          <w:szCs w:val="22"/>
          <w:lang w:eastAsia="pl-PL"/>
        </w:rPr>
      </w:pPr>
    </w:p>
    <w:p w14:paraId="65A6172E" w14:textId="77F42B64" w:rsidR="001C5710" w:rsidRPr="00FC7B3F" w:rsidRDefault="001C5710" w:rsidP="001C5710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Żyjemy w czasach planetarnej zmiany, która dotyczy nas wszystkich, bez wyjątku. Zmiany klimatyczne wpływają na każdą sferę życia, także na myślenie o sztuce – systemach jej produkcji, dystrybucji, jej społecznej funkcji oraz jej relacji do innych dyscyplin, przede wszystkim nauki. Wystawa </w:t>
      </w:r>
      <w:r w:rsidR="00E62599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„</w:t>
      </w:r>
      <w:r w:rsidR="00E62599" w:rsidRPr="00FC7B3F">
        <w:rPr>
          <w:rFonts w:ascii="Theinhardt Light" w:eastAsia="Times New Roman" w:hAnsi="Theinhardt Light" w:cs="Arial"/>
          <w:iCs/>
          <w:sz w:val="22"/>
          <w:szCs w:val="22"/>
          <w:lang w:eastAsia="pl-PL"/>
        </w:rPr>
        <w:t>W</w:t>
      </w:r>
      <w:r w:rsidRPr="00FC7B3F">
        <w:rPr>
          <w:rFonts w:ascii="Theinhardt Light" w:eastAsia="Times New Roman" w:hAnsi="Theinhardt Light" w:cs="Arial"/>
          <w:iCs/>
          <w:sz w:val="22"/>
          <w:szCs w:val="22"/>
          <w:lang w:eastAsia="pl-PL"/>
        </w:rPr>
        <w:t>iek półcienia</w:t>
      </w:r>
      <w:r w:rsidR="00E62599" w:rsidRPr="00FC7B3F">
        <w:rPr>
          <w:rFonts w:ascii="Theinhardt Light" w:eastAsia="Times New Roman" w:hAnsi="Theinhardt Light" w:cs="Arial"/>
          <w:iCs/>
          <w:sz w:val="22"/>
          <w:szCs w:val="22"/>
          <w:lang w:eastAsia="pl-PL"/>
        </w:rPr>
        <w:t>”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składa się z prac artystycznych z ostatnich pięciu dekad, bazujących na obserwacji</w:t>
      </w:r>
      <w:r w:rsid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wizualizacji przemian zachodzących na kuli ziemskiej. Stanowi przestrzeń do dyskusji na temat „zarządzania nieodwracalnym” oraz nowych form soli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darności, empatii i bycia razem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obliczu kryzysu klimatycznego.  </w:t>
      </w:r>
    </w:p>
    <w:p w14:paraId="6C96E3E3" w14:textId="77777777" w:rsidR="007437DF" w:rsidRPr="00FC7B3F" w:rsidRDefault="007437DF" w:rsidP="006A0821">
      <w:pPr>
        <w:shd w:val="clear" w:color="auto" w:fill="FFFFFF"/>
        <w:ind w:firstLine="708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73B15A52" w14:textId="03BB56B2" w:rsidR="007437DF" w:rsidRPr="00FC7B3F" w:rsidRDefault="007437DF" w:rsidP="006A0821">
      <w:pPr>
        <w:pStyle w:val="Tekstkomentarza"/>
        <w:jc w:val="both"/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Tytuł wystawy zaczerpnęliśmy z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książki 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Upadek cywilizacji zachodniej. Spojrzenie z przyszłości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Naomi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Oreskes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i Erik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M.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Conway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2014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roku, w której w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iek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iem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półcienia </w:t>
      </w:r>
      <w:r w:rsidR="00BB0A3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nazywa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się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nasze czasy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widziane przez bohatera z przyszłości jako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„okres antyintelektualizmu, który (...) uniemożliwił podjęcie działań opartych na wiedzy naukowej” i doprowadził do tragedii. 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Jesteśmy świadkami tego procesu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: ustalenia nauki przestały być postrzegane jako rozstrzygające, nie przekonują ludzi do działania. „Nauka staje się wierzeniem. Wierzenia stają się nauką. Wszyscy mogą wierzyć i nie wierzyć we wszystko. Możemy wiedzieć wszystko i nie wiedzieć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nic. Każdy czuje się ekspertem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każdym możliwym temacie” pisał w „The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Atlantic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” amerykański pisarz i historyk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Ibram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X.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Kendi</w:t>
      </w:r>
      <w:proofErr w:type="spellEnd"/>
      <w:r w:rsidR="00017AE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analizując sceptycyzm wobec zmian klimatycznych czy wręcz wypieranie tego zagrożenia (tzw. denializm klimatyczny). Kryzysowi kultury eksperckiej i nauki towarzyszy wzmocnienie się ruchów fundamentalistycznych negujących m.in. teorię ewolucji, szkodliwość smogu, podważających wpływ działalności człowieka na klimat. Najwyraźniej dane statystyczne, wykresy, szokujące relacje fotograficzne i filmowe z miejsc dotkniętych katastrofą ekologiczną nie działają 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już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wystarczająco mocno na wyobraźnię.</w:t>
      </w:r>
    </w:p>
    <w:p w14:paraId="75E2FA7D" w14:textId="77777777" w:rsidR="007437DF" w:rsidRPr="00FC7B3F" w:rsidRDefault="007437DF" w:rsidP="006A0821">
      <w:pPr>
        <w:shd w:val="clear" w:color="auto" w:fill="FFFFFF"/>
        <w:ind w:firstLine="708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1FB0939C" w14:textId="240C0A03" w:rsidR="007437DF" w:rsidRPr="00FC7B3F" w:rsidRDefault="007437DF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Obserwacje artystów są pokrewne tym naukowym,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zazwyczaj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nie konfrontują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jednak 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odbiorcy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z nadmiarem liczb, rosnącymi gwałtownie słupkami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infografik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 „p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ornograficznymi” obrazami biedy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i dewastacji. Sztuka dysponuje szeregiem </w:t>
      </w:r>
      <w:r w:rsidRPr="00FC7B3F">
        <w:rPr>
          <w:rFonts w:ascii="Theinhardt Light" w:eastAsia="Times New Roman" w:hAnsi="Theinhardt Light" w:cs="Arial"/>
          <w:i/>
          <w:sz w:val="22"/>
          <w:szCs w:val="22"/>
          <w:lang w:eastAsia="pl-PL"/>
        </w:rPr>
        <w:t>dziwnych narzędzi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(Alva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Noë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 2015), których użyć możemy do wsłuchiwania się w „znaki na niebie i ziemi”. Gdy zawod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zą powszechne narzędzia dialogu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perswazji, artyści umożliwiają „skok w wyobraźni”, pracują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c na emocjach, konfrontując się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 niezrozumiałym i nieznanym. Jak twierdzi teoretyk kultury wizualnej, Nicholas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Mirzoeff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: „musimy 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odwidzieć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wpojone nam sposoby widzenia świata i zacząć wyobrażać sobie nową relację z tym, co zwykliśmy nazywać naturą”. Sztuka może przyjść nam z pomocą, organizując pracę wyobraźni, </w:t>
      </w:r>
      <w:r w:rsidR="00E13D82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czasem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skuteczniej niż narzędzia wypracowane w polu nauki i polityk środowiskowych. </w:t>
      </w:r>
    </w:p>
    <w:p w14:paraId="541B876F" w14:textId="77777777" w:rsidR="007437DF" w:rsidRPr="00FC7B3F" w:rsidRDefault="007437DF" w:rsidP="006A0821">
      <w:pPr>
        <w:autoSpaceDE w:val="0"/>
        <w:autoSpaceDN w:val="0"/>
        <w:adjustRightInd w:val="0"/>
        <w:ind w:firstLine="708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3F279D44" w14:textId="77777777" w:rsidR="007437DF" w:rsidRPr="00FC7B3F" w:rsidRDefault="007437DF" w:rsidP="006A0821">
      <w:pPr>
        <w:autoSpaceDE w:val="0"/>
        <w:autoSpaceDN w:val="0"/>
        <w:adjustRightInd w:val="0"/>
        <w:ind w:firstLine="708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6DC921C7" w14:textId="43144BA3" w:rsidR="007437DF" w:rsidRPr="00FC7B3F" w:rsidRDefault="00C61AF7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Wystawa </w:t>
      </w:r>
      <w:r w:rsidR="00E62599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„</w:t>
      </w:r>
      <w:r w:rsidR="00E62599" w:rsidRPr="00FC7B3F">
        <w:rPr>
          <w:rFonts w:ascii="Theinhardt Light" w:eastAsia="Times New Roman" w:hAnsi="Theinhardt Light" w:cs="Arial"/>
          <w:iCs/>
          <w:sz w:val="22"/>
          <w:szCs w:val="22"/>
          <w:lang w:eastAsia="pl-PL"/>
        </w:rPr>
        <w:t>Wiek półcienia”</w:t>
      </w:r>
      <w:r w:rsidR="00E62599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 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obejmuje pięć dekad</w:t>
      </w:r>
      <w:r w:rsidR="00256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i wskazuje na 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wz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możenie refleksji środowiskowej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sztuce przełomu lat 60. i 70. XX wieku oraz w drugiej dekadzie XXI wieku. Ten pierwszy okres wiąże się z intensyfikacją ruchów pacyfistycznych, feministycznych i antyrasistowskich oraz formowaniem się współczesnego ruchu ekologicznego. W 1970 roku po raz pierwszy </w:t>
      </w:r>
      <w:r w:rsidR="000B187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obchodzono Dzień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Ziemi, w 1971 założony został Greenpeace, a rok później międzynarodowy think-tank, Klub Rzymski, opublikował raport </w:t>
      </w:r>
      <w:r w:rsidR="007437DF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Granice wzrostu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opisujący wyzwania, przed którymi stoi ludzkość wobec wyczerpywania się zasobów naturalnych. W tym samym czasie pojawiły się nowe zjawiska artystyczne, takie jak konceptualizm, </w:t>
      </w:r>
      <w:r w:rsidR="007437DF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anty-forma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czy sztuka ziemi </w:t>
      </w:r>
      <w:r w:rsidR="007437DF" w:rsidRPr="00FC7B3F">
        <w:rPr>
          <w:rFonts w:ascii="Theinhardt Light" w:eastAsia="Times New Roman" w:hAnsi="Theinhardt Light" w:cs="Arial"/>
          <w:iCs/>
          <w:sz w:val="22"/>
          <w:szCs w:val="22"/>
          <w:lang w:eastAsia="pl-PL"/>
        </w:rPr>
        <w:t>(</w:t>
      </w:r>
      <w:r w:rsidR="007437DF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land art, </w:t>
      </w:r>
      <w:proofErr w:type="spellStart"/>
      <w:r w:rsidR="007437DF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earth</w:t>
      </w:r>
      <w:proofErr w:type="spellEnd"/>
      <w:r w:rsidR="007437DF"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 art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). Artystki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i artyści, wprowadzając „geologiczne” myślenie o sztuce, korzystali z nietrwałych, organicznych materiałów lub dążyli do całkowitej dematerializacji dzieła. Wiele z ówczesnych propozycji na zawsze zmieniło myślenie o roli instytucji sztuki oraz relacji pomiędzy praktyką artystyczną, pracą zawodową i aktywizmem.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Mierle</w:t>
      </w:r>
      <w:proofErr w:type="spellEnd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Laderman</w:t>
      </w:r>
      <w:proofErr w:type="spellEnd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Ukeles</w:t>
      </w:r>
      <w:proofErr w:type="spellEnd"/>
      <w:r w:rsidR="00BB0A3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traktująca opiekę nad domem i macierzyństwo jako część swojej pracy artystycznej</w:t>
      </w:r>
      <w:r w:rsidR="00BB0A3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;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Bonnie</w:t>
      </w:r>
      <w:proofErr w:type="spellEnd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Ora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Sherk</w:t>
      </w:r>
      <w:proofErr w:type="spellEnd"/>
      <w:r w:rsidR="00BB0A3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przekształcająca miejskie nieużytki w oazy zieleni czy Agnes </w:t>
      </w:r>
      <w:proofErr w:type="spellStart"/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Denes</w:t>
      </w:r>
      <w:proofErr w:type="spellEnd"/>
      <w:r w:rsidR="00BB0A3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łącząca sztukę z cybernetyką </w:t>
      </w:r>
      <w:r w:rsidR="00E13D82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rolnictwem 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– 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to część rewolucji kontrkulturowej, która ostatecznie nie spełniła pokładanych w niej nadziei. </w:t>
      </w:r>
    </w:p>
    <w:p w14:paraId="5821B498" w14:textId="77777777" w:rsidR="007437DF" w:rsidRPr="00FC7B3F" w:rsidRDefault="007437DF" w:rsidP="006A0821">
      <w:pPr>
        <w:autoSpaceDE w:val="0"/>
        <w:autoSpaceDN w:val="0"/>
        <w:adjustRightInd w:val="0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201A1B3D" w14:textId="2E1465BB" w:rsidR="00FC6B0C" w:rsidRPr="00FC7B3F" w:rsidRDefault="007437DF" w:rsidP="006A0821">
      <w:pPr>
        <w:autoSpaceDE w:val="0"/>
        <w:autoSpaceDN w:val="0"/>
        <w:adjustRightInd w:val="0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Sztuka ziemi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to dla nas dużo więcej niż nurt sztuki zachodniej charakterystyczny dla przełomu lat 60. i 70. XX wieku. Podążając za myślą pakistańskiego artysty i aktywisty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Rasheeda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Araeena</w:t>
      </w:r>
      <w:proofErr w:type="spellEnd"/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, czerpiąc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 jego programu </w:t>
      </w:r>
      <w:proofErr w:type="spellStart"/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eko</w:t>
      </w:r>
      <w:proofErr w:type="spellEnd"/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-estetyki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poszukujemy „globalnej sztuki planetarnej zmiany”. Działania związane z „kanoniczną” sztuką ziemi, takie jak </w:t>
      </w:r>
      <w:proofErr w:type="spellStart"/>
      <w:r w:rsidRPr="00FC7B3F">
        <w:rPr>
          <w:rFonts w:ascii="Theinhardt Light" w:hAnsi="Theinhardt Light" w:cs="Arial"/>
          <w:i/>
          <w:iCs/>
          <w:sz w:val="22"/>
          <w:szCs w:val="22"/>
        </w:rPr>
        <w:t>Throwing</w:t>
      </w:r>
      <w:proofErr w:type="spellEnd"/>
      <w:r w:rsidRPr="00FC7B3F">
        <w:rPr>
          <w:rFonts w:ascii="Theinhardt Light" w:hAnsi="Theinhardt Light" w:cs="Arial"/>
          <w:i/>
          <w:iCs/>
          <w:sz w:val="22"/>
          <w:szCs w:val="22"/>
        </w:rPr>
        <w:t xml:space="preserve"> a </w:t>
      </w:r>
      <w:proofErr w:type="spellStart"/>
      <w:r w:rsidRPr="00FC7B3F">
        <w:rPr>
          <w:rFonts w:ascii="Theinhardt Light" w:hAnsi="Theinhardt Light" w:cs="Arial"/>
          <w:i/>
          <w:iCs/>
          <w:sz w:val="22"/>
          <w:szCs w:val="22"/>
        </w:rPr>
        <w:t>Stone</w:t>
      </w:r>
      <w:proofErr w:type="spellEnd"/>
      <w:r w:rsidRPr="00FC7B3F">
        <w:rPr>
          <w:rFonts w:ascii="Theinhardt Light" w:hAnsi="Theinhardt Light" w:cs="Arial"/>
          <w:i/>
          <w:iCs/>
          <w:sz w:val="22"/>
          <w:szCs w:val="22"/>
        </w:rPr>
        <w:t xml:space="preserve"> </w:t>
      </w:r>
      <w:proofErr w:type="spellStart"/>
      <w:r w:rsidRPr="00FC7B3F">
        <w:rPr>
          <w:rFonts w:ascii="Theinhardt Light" w:hAnsi="Theinhardt Light" w:cs="Arial"/>
          <w:i/>
          <w:iCs/>
          <w:sz w:val="22"/>
          <w:szCs w:val="22"/>
        </w:rPr>
        <w:t>around</w:t>
      </w:r>
      <w:proofErr w:type="spellEnd"/>
      <w:r w:rsidRPr="00FC7B3F">
        <w:rPr>
          <w:rFonts w:ascii="Theinhardt Light" w:hAnsi="Theinhardt Light" w:cs="Arial"/>
          <w:i/>
          <w:iCs/>
          <w:sz w:val="22"/>
          <w:szCs w:val="22"/>
        </w:rPr>
        <w:t xml:space="preserve"> </w:t>
      </w:r>
      <w:proofErr w:type="spellStart"/>
      <w:r w:rsidRPr="00FC7B3F">
        <w:rPr>
          <w:rFonts w:ascii="Theinhardt Light" w:hAnsi="Theinhardt Light" w:cs="Arial"/>
          <w:i/>
          <w:iCs/>
          <w:sz w:val="22"/>
          <w:szCs w:val="22"/>
        </w:rPr>
        <w:t>MacGillycuddy's</w:t>
      </w:r>
      <w:proofErr w:type="spellEnd"/>
      <w:r w:rsidRPr="00FC7B3F">
        <w:rPr>
          <w:rFonts w:ascii="Theinhardt Light" w:hAnsi="Theinhardt Light" w:cs="Arial"/>
          <w:i/>
          <w:iCs/>
          <w:sz w:val="22"/>
          <w:szCs w:val="22"/>
        </w:rPr>
        <w:t xml:space="preserve"> </w:t>
      </w:r>
      <w:proofErr w:type="spellStart"/>
      <w:r w:rsidRPr="00FC7B3F">
        <w:rPr>
          <w:rFonts w:ascii="Theinhardt Light" w:hAnsi="Theinhardt Light" w:cs="Arial"/>
          <w:i/>
          <w:iCs/>
          <w:sz w:val="22"/>
          <w:szCs w:val="22"/>
        </w:rPr>
        <w:t>Reeks</w:t>
      </w:r>
      <w:proofErr w:type="spellEnd"/>
      <w:r w:rsidRPr="00FC7B3F">
        <w:rPr>
          <w:rFonts w:ascii="Theinhardt Light" w:hAnsi="Theinhardt Light" w:cs="Arial"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Richarda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Longa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 w której autor podąża za wyrzucanym przed siebie kamieniem, plany „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terraformowania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” Roberta Morrisa czy program telewizyjny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Gerry’ego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Schuma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(przykład użycia nowych mediów do popularyzacji „organicznej” sztuki uprawianej na pustyniach czy w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lasach), sąsiadują na wystawie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pracami z XXI wieku – służącymi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ekologicznej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edukacji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Futurefarmers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</w:t>
      </w:r>
      <w:proofErr w:type="spellStart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Ines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Doujak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Center for Land </w:t>
      </w:r>
      <w:proofErr w:type="spellStart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Use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Interpretation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)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protestowi (</w:t>
      </w:r>
      <w:proofErr w:type="spellStart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Suzanne</w:t>
      </w:r>
      <w:proofErr w:type="spellEnd"/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Husky, </w:t>
      </w:r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Frans </w:t>
      </w:r>
      <w:proofErr w:type="spellStart"/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Krajcberg</w:t>
      </w:r>
      <w:proofErr w:type="spellEnd"/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Akira </w:t>
      </w:r>
      <w:proofErr w:type="spellStart"/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Tsuboi</w:t>
      </w:r>
      <w:proofErr w:type="spellEnd"/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)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506744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czy też 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odwołującymi się do duchowości i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ezoteryki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Shana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Moulton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890A7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Nick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Hallett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Teresa Murak, Tatiana Czekalska </w:t>
      </w:r>
      <w:r w:rsidR="00890A7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Leszek Golec). Artystki i artyści sięgają po wyrafinowane i nieoczywiste formy relacjonowania zachodzących zmian, takie jak nagrania terenowe 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Anja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Kanngieser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), poetyckie komunikaty tekstowe 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Hamish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Fulton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), rysunkowe zapisy snów i wizji 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Manumie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Qavavau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) czy instalacje z </w:t>
      </w:r>
      <w:r w:rsidRPr="00FC7B3F">
        <w:rPr>
          <w:rFonts w:ascii="Theinhardt Light" w:hAnsi="Theinhardt Light" w:cs="Arial"/>
          <w:sz w:val="22"/>
          <w:szCs w:val="22"/>
        </w:rPr>
        <w:t xml:space="preserve">przedmiotów, które morze wyrzuca na brzeg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(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Simryn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Gill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). </w:t>
      </w:r>
    </w:p>
    <w:p w14:paraId="2493BBD8" w14:textId="3522034A" w:rsidR="00C61AF7" w:rsidRPr="00FC7B3F" w:rsidRDefault="00FC6B0C" w:rsidP="006A0821">
      <w:pPr>
        <w:autoSpaceDE w:val="0"/>
        <w:autoSpaceDN w:val="0"/>
        <w:adjustRightInd w:val="0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Ich prace p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omagają zwizualizowa</w:t>
      </w:r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ć</w:t>
      </w:r>
      <w:r w:rsidR="007437D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to, co wydaje się wszechobecne i obezwładniające. </w:t>
      </w:r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Mogą mieć przy tym abstrakcyjną formę, oddziaływać emocjami i stać s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ię narzędziem konfabulacji, jak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wypadku grafik </w:t>
      </w:r>
      <w:proofErr w:type="spellStart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Viji</w:t>
      </w:r>
      <w:proofErr w:type="spellEnd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Celmins</w:t>
      </w:r>
      <w:proofErr w:type="spellEnd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 w których realistyczna kompozycja przedstawiająca widok morza jest w istocie studium konstruowania wyobrażeń na temat natury. Podobnie jak płyta z dźwiękami oceanu z cyklu „</w:t>
      </w:r>
      <w:proofErr w:type="spellStart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environments</w:t>
      </w:r>
      <w:proofErr w:type="spellEnd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” (środowiska) </w:t>
      </w:r>
      <w:proofErr w:type="spellStart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Irva</w:t>
      </w:r>
      <w:proofErr w:type="spellEnd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Teibela</w:t>
      </w:r>
      <w:proofErr w:type="spellEnd"/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będąca „</w:t>
      </w:r>
      <w:proofErr w:type="spellStart"/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asamblażem</w:t>
      </w:r>
      <w:proofErr w:type="spellEnd"/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” nagrań fal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="00C61AF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z różnych miejsc, o zmienionej prędkości i częstotliwości.</w:t>
      </w:r>
    </w:p>
    <w:p w14:paraId="529A0849" w14:textId="77777777" w:rsidR="00C61AF7" w:rsidRPr="00FC7B3F" w:rsidRDefault="00C61AF7" w:rsidP="006A0821">
      <w:pPr>
        <w:autoSpaceDE w:val="0"/>
        <w:autoSpaceDN w:val="0"/>
        <w:adjustRightInd w:val="0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7A3CC8E9" w14:textId="74640DD5" w:rsidR="007437DF" w:rsidRPr="00FC7B3F" w:rsidRDefault="007437DF" w:rsidP="006A0821">
      <w:pPr>
        <w:autoSpaceDE w:val="0"/>
        <w:autoSpaceDN w:val="0"/>
        <w:adjustRightInd w:val="0"/>
        <w:jc w:val="both"/>
        <w:rPr>
          <w:rFonts w:ascii="Theinhardt Light" w:hAnsi="Theinhardt Light" w:cs="Arial"/>
          <w:color w:val="1D1D1B"/>
          <w:sz w:val="22"/>
          <w:szCs w:val="22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Już w 1872 roku </w:t>
      </w:r>
      <w:r w:rsidRPr="00FC7B3F">
        <w:rPr>
          <w:rFonts w:ascii="Theinhardt Light" w:hAnsi="Theinhardt Light" w:cs="Arial"/>
          <w:sz w:val="22"/>
          <w:szCs w:val="22"/>
        </w:rPr>
        <w:t>Claude Monet z zachwytem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obserwował barwy i światło na zadymionym niebie portu w Hawrze, czemu dał wyraz w słynnej </w:t>
      </w:r>
      <w:r w:rsidRPr="00FC7B3F">
        <w:rPr>
          <w:rFonts w:ascii="Theinhardt Light" w:hAnsi="Theinhardt Light" w:cs="Arial"/>
          <w:i/>
          <w:sz w:val="22"/>
          <w:szCs w:val="22"/>
        </w:rPr>
        <w:t>Impresji, wschodzie słońca</w:t>
      </w:r>
      <w:r w:rsidRPr="00FC7B3F">
        <w:rPr>
          <w:rFonts w:ascii="Theinhardt Light" w:hAnsi="Theinhardt Light" w:cs="Arial"/>
          <w:sz w:val="22"/>
          <w:szCs w:val="22"/>
        </w:rPr>
        <w:t xml:space="preserve">. W prezentowanej na wystawie pracy </w:t>
      </w:r>
      <w:proofErr w:type="spellStart"/>
      <w:r w:rsidRPr="00FC7B3F">
        <w:rPr>
          <w:rFonts w:ascii="Theinhardt Light" w:hAnsi="Theinhardt Light" w:cs="Arial"/>
          <w:i/>
          <w:sz w:val="22"/>
          <w:szCs w:val="22"/>
        </w:rPr>
        <w:t>Beautiful</w:t>
      </w:r>
      <w:proofErr w:type="spellEnd"/>
      <w:r w:rsidRPr="00FC7B3F">
        <w:rPr>
          <w:rFonts w:ascii="Theinhardt Light" w:hAnsi="Theinhardt Light" w:cs="Arial"/>
          <w:i/>
          <w:sz w:val="22"/>
          <w:szCs w:val="22"/>
        </w:rPr>
        <w:t xml:space="preserve"> Sheffield</w:t>
      </w:r>
      <w:r w:rsidRPr="00FC7B3F">
        <w:rPr>
          <w:rFonts w:ascii="Theinhardt Light" w:hAnsi="Theinhardt Light" w:cs="Arial"/>
          <w:sz w:val="22"/>
          <w:szCs w:val="22"/>
        </w:rPr>
        <w:t xml:space="preserve"> (2001) współczesnej brytyjskiej artystki </w:t>
      </w:r>
      <w:proofErr w:type="spellStart"/>
      <w:r w:rsidRPr="00FC7B3F">
        <w:rPr>
          <w:rFonts w:ascii="Theinhardt Light" w:hAnsi="Theinhardt Light" w:cs="Arial"/>
          <w:sz w:val="22"/>
          <w:szCs w:val="22"/>
        </w:rPr>
        <w:t>Tacity</w:t>
      </w:r>
      <w:proofErr w:type="spellEnd"/>
      <w:r w:rsidRPr="00FC7B3F">
        <w:rPr>
          <w:rFonts w:ascii="Theinhardt Light" w:hAnsi="Theinhardt Light" w:cs="Arial"/>
          <w:sz w:val="22"/>
          <w:szCs w:val="22"/>
        </w:rPr>
        <w:t xml:space="preserve"> Dean, tęskniącej za utraconym bezpowrotnie wiejskim krajobrazem Anglii, smog to po prostu smog, a sadza odkłada się czernią na większej części kompozycji.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Seria prac Roberta Barry’ego z 1969 roku, które polegały na wypuszczaniu do atmosfery gazów szlachetnych, może być dziś ujęta w ramy refleksji na temat inżynierii klimatycznej, podobnie jak wypełniona pyłami i </w:t>
      </w:r>
      <w:r w:rsidR="001C571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pigmentami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diorama Dory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Budor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</w:t>
      </w:r>
      <w:r w:rsidR="00EE7891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 xml:space="preserve">do wnętrza której transmitowane są </w:t>
      </w:r>
      <w:r w:rsidR="001C5710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>zjawiska akustyczne</w:t>
      </w:r>
      <w:r w:rsidR="00EE7891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 xml:space="preserve"> z placu budowy </w:t>
      </w:r>
      <w:r w:rsidR="005610DA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>gmach</w:t>
      </w:r>
      <w:r w:rsidR="00EE7891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>u</w:t>
      </w:r>
      <w:r w:rsidR="005610DA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 xml:space="preserve"> Muzeum Sztuki Nowoczesnej w Warszawie.</w:t>
      </w:r>
      <w:r w:rsidR="005610DA" w:rsidRPr="00FC7B3F">
        <w:rPr>
          <w:rFonts w:ascii="Theinhardt Light" w:hAnsi="Theinhardt Light" w:cs="Arial"/>
          <w:color w:val="1D1D1B"/>
          <w:sz w:val="22"/>
          <w:szCs w:val="22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Praca ta odsyła nas do </w:t>
      </w:r>
      <w:r w:rsidR="00463DC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wyzwań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związanych z samym muzeum i jego nową siedzibą </w:t>
      </w:r>
      <w:r w:rsidR="00256BCC" w:rsidRPr="00FC7B3F">
        <w:rPr>
          <w:rFonts w:ascii="Theinhardt Light" w:eastAsia="Times New Roman" w:hAnsi="Theinhardt Light" w:cs="Arial"/>
          <w:color w:val="000000"/>
          <w:sz w:val="22"/>
          <w:szCs w:val="22"/>
          <w:lang w:eastAsia="pl-PL"/>
        </w:rPr>
        <w:t>na placu Defilad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– </w:t>
      </w:r>
      <w:r w:rsidR="00044327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dużą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</w:t>
      </w:r>
      <w:r w:rsidR="00BD71D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nwestycją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w centrum miasta</w:t>
      </w:r>
      <w:r w:rsidR="001C571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.</w:t>
      </w:r>
    </w:p>
    <w:p w14:paraId="08F47E2C" w14:textId="77777777" w:rsidR="007437DF" w:rsidRPr="00FC7B3F" w:rsidRDefault="007437DF" w:rsidP="006A0821">
      <w:pPr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5745C44D" w14:textId="4398C12B" w:rsidR="007437DF" w:rsidRPr="00FC7B3F" w:rsidRDefault="007437DF" w:rsidP="001C5710">
      <w:pPr>
        <w:pStyle w:val="Tekstkomentarza"/>
        <w:jc w:val="both"/>
        <w:rPr>
          <w:rFonts w:ascii="Theinhardt Light" w:hAnsi="Theinhardt Light" w:cs="Arial"/>
          <w:sz w:val="22"/>
          <w:szCs w:val="22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obszarze zainteresowań uwrażliwionych na zmiany środowiskowe artystek i artystów znajdują się takie zagadnienia jak dług klimatyczny,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postantropocentryzm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nieuniknione wyczerpanie złóż paliw kopalnych, skutki nieograniczonej akumulacji dóbr i wzrostu gospodarczego, planetarne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ekobójstwo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i kolonialna eksploatacja.</w:t>
      </w:r>
      <w:r w:rsidR="00DA31AE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Wszystko to jest kontekstem dla </w:t>
      </w:r>
      <w:r w:rsidR="004C3903" w:rsidRPr="00FC7B3F">
        <w:rPr>
          <w:rFonts w:ascii="Theinhardt Light" w:eastAsia="Times New Roman" w:hAnsi="Theinhardt Light" w:cs="Arial"/>
          <w:i/>
          <w:sz w:val="22"/>
          <w:szCs w:val="22"/>
          <w:lang w:eastAsia="pl-PL"/>
        </w:rPr>
        <w:t>sztuki ziemi</w:t>
      </w:r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.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Proponujemy więc objęcie </w:t>
      </w:r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tym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terminem </w:t>
      </w:r>
      <w:r w:rsidR="00FF33E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szerokiej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panoramy praktyk artystycznych dotyczących relacji człowieka z innymi gatunkami, materią nieożywioną i </w:t>
      </w:r>
      <w:r w:rsidR="00FF33E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całą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planetą </w:t>
      </w:r>
      <w:r w:rsidR="00FF33EB" w:rsidRPr="00FC7B3F">
        <w:rPr>
          <w:rFonts w:ascii="Theinhardt Light" w:hAnsi="Theinhardt Light" w:cs="Arial"/>
          <w:sz w:val="22"/>
          <w:szCs w:val="22"/>
        </w:rPr>
        <w:t>oraz prowadzonych przez artystów i aktywistów działań „nieartystycznych” (od ogr</w:t>
      </w:r>
      <w:r w:rsidR="007F01C8" w:rsidRPr="00FC7B3F">
        <w:rPr>
          <w:rFonts w:ascii="Theinhardt Light" w:hAnsi="Theinhardt Light" w:cs="Arial"/>
          <w:sz w:val="22"/>
          <w:szCs w:val="22"/>
        </w:rPr>
        <w:t>odów spo</w:t>
      </w:r>
      <w:r w:rsidR="00FC7B3F">
        <w:rPr>
          <w:rFonts w:ascii="Theinhardt Light" w:hAnsi="Theinhardt Light" w:cs="Arial"/>
          <w:sz w:val="22"/>
          <w:szCs w:val="22"/>
        </w:rPr>
        <w:t xml:space="preserve">łecznościowych po walkę </w:t>
      </w:r>
      <w:r w:rsidR="00FF33EB" w:rsidRPr="00FC7B3F">
        <w:rPr>
          <w:rFonts w:ascii="Theinhardt Light" w:hAnsi="Theinhardt Light" w:cs="Arial"/>
          <w:sz w:val="22"/>
          <w:szCs w:val="22"/>
        </w:rPr>
        <w:t>o prawa ludności tubylczej i zakładanie partii politycznych).</w:t>
      </w:r>
      <w:r w:rsidR="001C5710" w:rsidRPr="00FC7B3F">
        <w:rPr>
          <w:rFonts w:ascii="Theinhardt Light" w:hAnsi="Theinhardt Light" w:cs="Arial"/>
          <w:sz w:val="22"/>
          <w:szCs w:val="22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Sztuka ziemi w tym ujęciu nie jest przypisana do żadnego medium, specyficznego materiału czy też regionu geograficznego. Może objąć także działania, które nie funkcjonują pod szyldem sztuki. Jednym z przykładów byłyby lodowe stupy z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Ladakh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– tworzone przez inżyniera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Sonama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Wangchuka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lodowce, o fascynującej formie i jasno przypisanej funkcji, jaką jest zaopatrzenie w wodę mieszkańców pustyni położonej u podnóża Himalajów</w:t>
      </w:r>
      <w:r w:rsidRPr="00FC7B3F">
        <w:rPr>
          <w:rStyle w:val="Odwoaniedokomentarza"/>
          <w:rFonts w:ascii="Theinhardt Light" w:hAnsi="Theinhardt Light" w:cs="Arial"/>
          <w:sz w:val="22"/>
          <w:szCs w:val="22"/>
        </w:rPr>
        <w:t xml:space="preserve">.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 </w:t>
      </w:r>
    </w:p>
    <w:p w14:paraId="54999F38" w14:textId="77777777" w:rsidR="007437DF" w:rsidRPr="00FC7B3F" w:rsidRDefault="007437DF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247DF918" w14:textId="21FCBDF6" w:rsidR="007437DF" w:rsidRPr="00FC7B3F" w:rsidRDefault="007437DF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Jeszcze nigdy czas nie biegł tak szybko. To, co wcześniej trwało miliony lat, dziś r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ozgrywa się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ciągu kilku dekad. W 1947 roku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Isamu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Noguchi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zaproponował wzniesienie </w:t>
      </w:r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na pustyni 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Memoriału dla człowieka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ogromnego, przypominającego ludzką twarz 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reliefu, który można by oglądać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 kosmosu. Miał być śladem po cywilizacji, która w wyniku wojny nuklearnej poszukiwać będzie dla siebie nowego domu, osiedlając się na Marsie. Fantazje o „planecie B” się nie spełniły. Mamy tylko jedną 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Z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iemię.</w:t>
      </w:r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Świadomość katastrofalnej spr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awczości gatunku ludzkiego, jak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nieuchronności końca ładu, jaki znamy, wymaga innego spojrzenia na działalność człowieka –</w:t>
      </w:r>
      <w:r w:rsidR="004C3903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spojrzenia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pozbawionego antropocentrycznej buty, „nie-ludzkiego” i bliższego geologii niż naukom humanistycznym. Dopiero kiedy zmienimy perspektywę i zro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zumiemy, że żyjemy równocześnie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„w więcej niż jednej skali”, dostrzeżemy konsekwencje </w:t>
      </w:r>
      <w:r w:rsidR="00490E7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procesów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zachodzących po rewolucji neolitycznej (a później rewolucji przemysłowej i powojennym przyspieszeniu gospodarczym). Dary, które przynosi nam tzw. cywilizacja są jednocześnie naszą trucizną. </w:t>
      </w:r>
      <w:proofErr w:type="spellStart"/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Eat</w:t>
      </w:r>
      <w:proofErr w:type="spellEnd"/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Death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(Jedzcie śmierć!), konkludował amerykański artysta Bruce Nauman w swojej złowieszczej pracy z 1971 roku. </w:t>
      </w:r>
    </w:p>
    <w:p w14:paraId="0FC9C7B7" w14:textId="77777777" w:rsidR="00473C0B" w:rsidRPr="00FC7B3F" w:rsidRDefault="00473C0B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4AFF8196" w14:textId="08A395A5" w:rsidR="009D15EF" w:rsidRPr="00FC7B3F" w:rsidRDefault="007437DF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Życie w stanie pogłębiającego się kryzysu zmusza nas do f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undamentalnej zmiany w myśleniu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o całym systemie organizacji społecznej oraz do konfrontac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ji z dylematami natury etycznej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egzystencjalnej (migracje klimatyczne czy nowe konflikty klasowe). Świat sz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tuki, z muzeami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i rytuałami organizowania rzeczy i idei, nie jest wyjątkiem („na martwej planecie nie będzie muzeów!”, parafrazując hasło Młodzieżowego Strajku Klimatycznego) i wymaga głębokich przemian systemowych. Zaangażowanie w tę dyskusję traktujemy jako powinność muzeum, a nie jako kolejną modę czy nurt w sztuce. </w:t>
      </w:r>
      <w:r w:rsidR="00BB06B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kontrze do tezy o „zwrocie ekologi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cznym” czy popularności „sztuki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o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antropocenie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” podkreślamy </w:t>
      </w:r>
      <w:r w:rsidRPr="00FC7B3F">
        <w:rPr>
          <w:rFonts w:ascii="Theinhardt Light" w:eastAsia="Times New Roman" w:hAnsi="Theinhardt Light" w:cs="Arial"/>
          <w:i/>
          <w:iCs/>
          <w:sz w:val="22"/>
          <w:szCs w:val="22"/>
          <w:lang w:eastAsia="pl-PL"/>
        </w:rPr>
        <w:t>stałość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refleksji środowiskowej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, opartej na ciągłości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="00BB06B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odpowiedzialności</w:t>
      </w:r>
      <w:r w:rsidRPr="00FC7B3F">
        <w:rPr>
          <w:rStyle w:val="Odwoaniedokomentarza"/>
          <w:rFonts w:ascii="Theinhardt Light" w:hAnsi="Theinhardt Light" w:cs="Arial"/>
          <w:sz w:val="22"/>
          <w:szCs w:val="22"/>
        </w:rPr>
        <w:t xml:space="preserve">. </w:t>
      </w:r>
      <w:r w:rsidR="00490E7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Nasze działania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BB06B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są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częścią </w:t>
      </w:r>
      <w:r w:rsidR="00BB06B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szerszego nurtu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stawiającego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na solidarnoś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ć</w:t>
      </w:r>
      <w:r w:rsidR="007F01C8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i współprac</w:t>
      </w:r>
      <w:r w:rsidR="00256BCC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ę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, widoczne</w:t>
      </w:r>
      <w:r w:rsidR="00BB06BF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go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w programach i wystawach, które w ostatnich latach zainicjowano </w:t>
      </w:r>
      <w:r w:rsidR="001C5710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między innymi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w Muzeum Sztuki w Łodzi,</w:t>
      </w:r>
      <w:r w:rsidR="00473C0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  <w:r w:rsidR="00490E7B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Centrum Sztuki Współczesnej Zamek Ujazdowski,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Biennale Warszawa, Galerii Kronika w Bytomiu, Teatrze </w:t>
      </w:r>
      <w:r w:rsidR="00EE7891"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Powszechnym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t>BWA Opole i innych instytucjach</w:t>
      </w:r>
      <w:r w:rsidR="00FC7B3F">
        <w:rPr>
          <w:rFonts w:ascii="Theinhardt Light" w:eastAsia="Times New Roman" w:hAnsi="Theinhardt Light" w:cs="Arial"/>
          <w:sz w:val="22"/>
          <w:szCs w:val="22"/>
          <w:lang w:eastAsia="pl-PL"/>
        </w:rPr>
        <w:br/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w całej Polsce. </w:t>
      </w:r>
    </w:p>
    <w:p w14:paraId="471B239F" w14:textId="77777777" w:rsidR="009D15EF" w:rsidRPr="00FC7B3F" w:rsidRDefault="009D15EF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7E17024F" w14:textId="77777777" w:rsidR="001C5710" w:rsidRPr="00FC7B3F" w:rsidRDefault="001C5710" w:rsidP="007F01C8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Sztuka z pewnością nie ochroni nas przez katastrofą, ale pomoże nam uzbroić się w </w:t>
      </w:r>
      <w:r w:rsidRPr="00FC7B3F">
        <w:rPr>
          <w:rFonts w:ascii="Theinhardt Light" w:eastAsia="Times New Roman" w:hAnsi="Theinhardt Light" w:cs="Arial"/>
          <w:i/>
          <w:sz w:val="22"/>
          <w:szCs w:val="22"/>
          <w:lang w:eastAsia="pl-PL"/>
        </w:rPr>
        <w:t>dziwne narzędzia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służące pracy wyobraźni i współodczuwania. </w:t>
      </w:r>
      <w:proofErr w:type="spellStart"/>
      <w:r w:rsidRPr="00FC7B3F">
        <w:rPr>
          <w:rFonts w:ascii="Theinhardt Light" w:eastAsia="Times New Roman" w:hAnsi="Theinhardt Light" w:cs="Arial"/>
          <w:bCs/>
          <w:sz w:val="22"/>
          <w:szCs w:val="22"/>
          <w:lang w:eastAsia="pl-PL"/>
        </w:rPr>
        <w:t>Mierle</w:t>
      </w:r>
      <w:proofErr w:type="spellEnd"/>
      <w:r w:rsidRPr="00FC7B3F">
        <w:rPr>
          <w:rFonts w:ascii="Theinhardt Light" w:eastAsia="Times New Roman" w:hAnsi="Theinhardt Light" w:cs="Arial"/>
          <w:bCs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bCs/>
          <w:sz w:val="22"/>
          <w:szCs w:val="22"/>
          <w:lang w:eastAsia="pl-PL"/>
        </w:rPr>
        <w:t>Laderman</w:t>
      </w:r>
      <w:proofErr w:type="spellEnd"/>
      <w:r w:rsidRPr="00FC7B3F">
        <w:rPr>
          <w:rFonts w:ascii="Theinhardt Light" w:eastAsia="Times New Roman" w:hAnsi="Theinhardt Light" w:cs="Arial"/>
          <w:bCs/>
          <w:sz w:val="22"/>
          <w:szCs w:val="22"/>
          <w:lang w:eastAsia="pl-PL"/>
        </w:rPr>
        <w:t xml:space="preserve"> </w:t>
      </w:r>
      <w:proofErr w:type="spellStart"/>
      <w:r w:rsidRPr="00FC7B3F">
        <w:rPr>
          <w:rFonts w:ascii="Theinhardt Light" w:eastAsia="Times New Roman" w:hAnsi="Theinhardt Light" w:cs="Arial"/>
          <w:bCs/>
          <w:sz w:val="22"/>
          <w:szCs w:val="22"/>
          <w:lang w:eastAsia="pl-PL"/>
        </w:rPr>
        <w:t>Ukeles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, w swym pamiętnym manifeście z 1969 roku, postawiła pytanie: „A po rewolucji, w poniedziałek rano, kto przyjedzie odebrać twoje śmieci?”. W dziełach sztuki z ostatnich dekad poszukujemy nie tylko wizualizacji procesów zachodzących na kuli ziemskiej, wypatrujemy także możliwych propozycji na przyszłość. Jeśli ekologiczna katastrofa już się wydarza (z czym zgodziliby się z pewnością mieszkańcy doszczętnie </w:t>
      </w: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lastRenderedPageBreak/>
        <w:t xml:space="preserve">zdewastowanych wysp Nauru czy </w:t>
      </w:r>
      <w:proofErr w:type="spellStart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Banaba</w:t>
      </w:r>
      <w:proofErr w:type="spellEnd"/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na Pacyfiku), wspólnie zastanawiamy się czy kiedykolwiek uda nam się posprzątać ten planetarny bałagan i na nowo zbudować relacje z innymi czującymi istotami? Czy uda nam się zacząć jeszcze raz? </w:t>
      </w:r>
    </w:p>
    <w:p w14:paraId="77325337" w14:textId="7A1B22E7" w:rsidR="00473C0B" w:rsidRPr="00FC7B3F" w:rsidRDefault="00A803A6" w:rsidP="006A0821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 xml:space="preserve"> </w:t>
      </w:r>
    </w:p>
    <w:p w14:paraId="3E97F208" w14:textId="3EB4B0AD" w:rsidR="00E62599" w:rsidRPr="00FC7B3F" w:rsidRDefault="00B3695E" w:rsidP="00E62599">
      <w:pPr>
        <w:shd w:val="clear" w:color="auto" w:fill="FFFFFF"/>
        <w:jc w:val="both"/>
        <w:rPr>
          <w:rFonts w:ascii="Theinhardt Light" w:eastAsia="Times New Roman" w:hAnsi="Theinhardt Light" w:cs="Arial"/>
          <w:b/>
          <w:sz w:val="22"/>
          <w:szCs w:val="22"/>
          <w:lang w:eastAsia="pl-PL"/>
        </w:rPr>
      </w:pPr>
      <w:r>
        <w:rPr>
          <w:rFonts w:ascii="Theinhardt Light" w:eastAsia="Times New Roman" w:hAnsi="Theinhardt Light" w:cs="Arial"/>
          <w:b/>
          <w:sz w:val="22"/>
          <w:szCs w:val="22"/>
          <w:lang w:eastAsia="pl-PL"/>
        </w:rPr>
        <w:t>K</w:t>
      </w:r>
      <w:r w:rsidR="00E62599" w:rsidRPr="00FC7B3F">
        <w:rPr>
          <w:rFonts w:ascii="Theinhardt Light" w:eastAsia="Times New Roman" w:hAnsi="Theinhardt Light" w:cs="Arial"/>
          <w:b/>
          <w:sz w:val="22"/>
          <w:szCs w:val="22"/>
          <w:lang w:eastAsia="pl-PL"/>
        </w:rPr>
        <w:t xml:space="preserve">uratorzy: </w:t>
      </w:r>
    </w:p>
    <w:p w14:paraId="790FE721" w14:textId="0B39D37D" w:rsidR="00E62599" w:rsidRDefault="00E62599" w:rsidP="00E62599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  <w:r w:rsidRPr="00FC7B3F">
        <w:rPr>
          <w:rFonts w:ascii="Theinhardt Light" w:eastAsia="Times New Roman" w:hAnsi="Theinhardt Light" w:cs="Arial"/>
          <w:sz w:val="22"/>
          <w:szCs w:val="22"/>
          <w:lang w:eastAsia="pl-PL"/>
        </w:rPr>
        <w:t>Sebastian Cichocki i Jagna Lewandowska</w:t>
      </w:r>
    </w:p>
    <w:p w14:paraId="44731DAE" w14:textId="0F4669B1" w:rsidR="00B3695E" w:rsidRDefault="00B3695E" w:rsidP="00E62599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3204350B" w14:textId="4890FE12" w:rsidR="00B3695E" w:rsidRPr="00B3695E" w:rsidRDefault="00B3695E" w:rsidP="00B3695E">
      <w:pPr>
        <w:shd w:val="clear" w:color="auto" w:fill="FFFFFF"/>
        <w:spacing w:line="300" w:lineRule="atLeast"/>
        <w:textAlignment w:val="baseline"/>
        <w:outlineLvl w:val="2"/>
        <w:rPr>
          <w:rFonts w:ascii="Theinhardt Light" w:eastAsia="Times New Roman" w:hAnsi="Theinhardt Light" w:cs="Helvetica"/>
          <w:b/>
          <w:color w:val="000000"/>
          <w:sz w:val="22"/>
          <w:szCs w:val="22"/>
          <w:lang w:eastAsia="pl-PL"/>
        </w:rPr>
      </w:pPr>
      <w:r w:rsidRPr="006C3A2B">
        <w:rPr>
          <w:rFonts w:ascii="Theinhardt Light" w:eastAsia="Times New Roman" w:hAnsi="Theinhardt Light" w:cs="Helvetica"/>
          <w:b/>
          <w:color w:val="000000"/>
          <w:sz w:val="22"/>
          <w:szCs w:val="22"/>
          <w:lang w:eastAsia="pl-PL"/>
        </w:rPr>
        <w:t>A</w:t>
      </w:r>
      <w:r w:rsidRPr="00B3695E">
        <w:rPr>
          <w:rFonts w:ascii="Theinhardt Light" w:eastAsia="Times New Roman" w:hAnsi="Theinhardt Light" w:cs="Helvetica"/>
          <w:b/>
          <w:color w:val="000000"/>
          <w:sz w:val="22"/>
          <w:szCs w:val="22"/>
          <w:lang w:eastAsia="pl-PL"/>
        </w:rPr>
        <w:t>rtystki i artyści:</w:t>
      </w:r>
    </w:p>
    <w:p w14:paraId="6673C122" w14:textId="77777777" w:rsidR="00B3695E" w:rsidRPr="00B3695E" w:rsidRDefault="00B3695E" w:rsidP="007216B0">
      <w:pPr>
        <w:shd w:val="clear" w:color="auto" w:fill="FFFFFF"/>
        <w:jc w:val="both"/>
        <w:textAlignment w:val="baseline"/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</w:pP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Jonathas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de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Andrade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Isabelle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Andriessen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Rasheed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Araeen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Robert Barry, Kasper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Bosmans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Boyle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bookmarkStart w:id="0" w:name="_GoBack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Family, Agnieszka Brzeżańska, Dora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Budor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Vija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Celmins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Center for Land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Use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Interpretation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Alice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Creischer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Czekalska + Golec,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Betsy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Damon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Tacita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Dean, Thierry De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Cordier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Agnes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Denes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Ines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Doujak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Jimmie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Durham, Jerzy Fedorowicz,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Hamish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Fulton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Futurefarmers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Cyprien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Gaillard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Simryn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Gill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Wanda Gołkowska,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Guerrilla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Girls, Małgorzata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Gurowska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Anna &amp; Lawrence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Halprin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Mitsutoshi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Hanaga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Suzanne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Husky,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Ice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Stupa Project, INTERPRT,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Anja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Kanngieser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Karrabing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Film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Collective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Beom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Kim, Frans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Krajcberg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Susanne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Kriemann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Stefan Krygier,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Katalin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Ladik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Nicolás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Lamas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John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Latham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Richard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Long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Antje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Majewski, Nicholas Mangan, Krzysztof Maniak,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Qavavau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Manumie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Robert Morris,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Shana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Moulton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&amp; Nick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Hallett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Teresa Murak, Peter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Nadin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&amp;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Natsuko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Uchino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&amp;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Aimée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Toledano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Bruce Nauman,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Nishiko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Isamu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Noguchi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OHO,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Dennis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Oppenheim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Prabhakar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Pachpute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&amp;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Rupali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Patil, Maria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Pinińska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-Bereś, Agnieszka Polska, Ludmiła Popiel, Joanna Rajkowska, Jerzy Rosołowicz, Oscar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Santillán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Gerry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Schum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Bonnie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Ora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Sherk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Anna Siekierska, Rudolf Sikora, Magdalena Starska,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Irv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Teibel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Akira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Tsuboi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 xml:space="preserve">, Maria Waśko, Ryszard Waśko, Lawrence Weiner, Magdalena Więcek, Andrea </w:t>
      </w:r>
      <w:proofErr w:type="spellStart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Zittel</w:t>
      </w:r>
      <w:proofErr w:type="spellEnd"/>
      <w:r w:rsidRPr="00B3695E">
        <w:rPr>
          <w:rFonts w:ascii="Theinhardt Light" w:eastAsia="Times New Roman" w:hAnsi="Theinhardt Light" w:cs="Helvetica"/>
          <w:color w:val="000000"/>
          <w:sz w:val="22"/>
          <w:szCs w:val="22"/>
          <w:lang w:eastAsia="pl-PL"/>
        </w:rPr>
        <w:t>.</w:t>
      </w:r>
    </w:p>
    <w:bookmarkEnd w:id="0"/>
    <w:p w14:paraId="1B5157BC" w14:textId="77777777" w:rsidR="00B3695E" w:rsidRPr="00FC7B3F" w:rsidRDefault="00B3695E" w:rsidP="00E62599">
      <w:pPr>
        <w:shd w:val="clear" w:color="auto" w:fill="FFFFFF"/>
        <w:jc w:val="both"/>
        <w:rPr>
          <w:rFonts w:ascii="Theinhardt Light" w:eastAsia="Times New Roman" w:hAnsi="Theinhardt Light" w:cs="Arial"/>
          <w:sz w:val="22"/>
          <w:szCs w:val="22"/>
          <w:lang w:eastAsia="pl-PL"/>
        </w:rPr>
      </w:pPr>
    </w:p>
    <w:p w14:paraId="60AF579E" w14:textId="77777777" w:rsidR="00E3683D" w:rsidRPr="00095137" w:rsidRDefault="00E3683D" w:rsidP="00E62599">
      <w:pPr>
        <w:jc w:val="both"/>
        <w:rPr>
          <w:rFonts w:ascii="Theinhardt Regular" w:eastAsia="Times New Roman" w:hAnsi="Theinhardt Regular" w:cs="Arial"/>
          <w:sz w:val="22"/>
          <w:szCs w:val="22"/>
          <w:lang w:eastAsia="pl-PL"/>
        </w:rPr>
      </w:pPr>
    </w:p>
    <w:sectPr w:rsidR="00E3683D" w:rsidRPr="00095137" w:rsidSect="00E3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451"/>
    <w:multiLevelType w:val="hybridMultilevel"/>
    <w:tmpl w:val="EDBA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F"/>
    <w:rsid w:val="00015673"/>
    <w:rsid w:val="00017AE0"/>
    <w:rsid w:val="00044327"/>
    <w:rsid w:val="00095137"/>
    <w:rsid w:val="000B1878"/>
    <w:rsid w:val="000D24EC"/>
    <w:rsid w:val="001C5710"/>
    <w:rsid w:val="001E0767"/>
    <w:rsid w:val="002020C2"/>
    <w:rsid w:val="00243F3A"/>
    <w:rsid w:val="0024545E"/>
    <w:rsid w:val="00256891"/>
    <w:rsid w:val="00256BCC"/>
    <w:rsid w:val="00360B2C"/>
    <w:rsid w:val="00367917"/>
    <w:rsid w:val="0043777D"/>
    <w:rsid w:val="004403EA"/>
    <w:rsid w:val="004554E9"/>
    <w:rsid w:val="00463DC3"/>
    <w:rsid w:val="004649E4"/>
    <w:rsid w:val="0046720B"/>
    <w:rsid w:val="00473C0B"/>
    <w:rsid w:val="00490E7B"/>
    <w:rsid w:val="004B7EC4"/>
    <w:rsid w:val="004C3903"/>
    <w:rsid w:val="004E183B"/>
    <w:rsid w:val="00506744"/>
    <w:rsid w:val="005610DA"/>
    <w:rsid w:val="00581896"/>
    <w:rsid w:val="005F2C0F"/>
    <w:rsid w:val="00631208"/>
    <w:rsid w:val="00646125"/>
    <w:rsid w:val="006564D2"/>
    <w:rsid w:val="00660D92"/>
    <w:rsid w:val="006A0821"/>
    <w:rsid w:val="006C3A2B"/>
    <w:rsid w:val="007216B0"/>
    <w:rsid w:val="007424B6"/>
    <w:rsid w:val="007437DF"/>
    <w:rsid w:val="00796F06"/>
    <w:rsid w:val="007B0F19"/>
    <w:rsid w:val="007F01C8"/>
    <w:rsid w:val="00890A70"/>
    <w:rsid w:val="00984642"/>
    <w:rsid w:val="009D15EF"/>
    <w:rsid w:val="00A211E8"/>
    <w:rsid w:val="00A803A6"/>
    <w:rsid w:val="00A8674F"/>
    <w:rsid w:val="00AD70CF"/>
    <w:rsid w:val="00B10D3B"/>
    <w:rsid w:val="00B3695E"/>
    <w:rsid w:val="00B40674"/>
    <w:rsid w:val="00BB06BF"/>
    <w:rsid w:val="00BB0A3E"/>
    <w:rsid w:val="00BD71D8"/>
    <w:rsid w:val="00C06DB6"/>
    <w:rsid w:val="00C52C9F"/>
    <w:rsid w:val="00C61AF7"/>
    <w:rsid w:val="00CA6B22"/>
    <w:rsid w:val="00CE1259"/>
    <w:rsid w:val="00CE1531"/>
    <w:rsid w:val="00D367B4"/>
    <w:rsid w:val="00D4785E"/>
    <w:rsid w:val="00DA31AE"/>
    <w:rsid w:val="00E13D82"/>
    <w:rsid w:val="00E3683D"/>
    <w:rsid w:val="00E62599"/>
    <w:rsid w:val="00EE7891"/>
    <w:rsid w:val="00F24F92"/>
    <w:rsid w:val="00FC6B0C"/>
    <w:rsid w:val="00FC7B3F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E14D"/>
  <w15:docId w15:val="{4B52C45A-A4C3-774B-B6F3-DF2E6FC4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D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369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4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7D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31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31"/>
    <w:rPr>
      <w:rFonts w:ascii="Times New Roman" w:eastAsia="Calibri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D8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612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6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95E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s.cichocki</dc:creator>
  <cp:lastModifiedBy>Iga Winczakiewicz</cp:lastModifiedBy>
  <cp:revision>10</cp:revision>
  <cp:lastPrinted>2020-03-19T16:54:00Z</cp:lastPrinted>
  <dcterms:created xsi:type="dcterms:W3CDTF">2020-02-17T13:35:00Z</dcterms:created>
  <dcterms:modified xsi:type="dcterms:W3CDTF">2020-03-19T16:55:00Z</dcterms:modified>
</cp:coreProperties>
</file>