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27A7" w:rsidRPr="003E27A7" w:rsidTr="003E27A7">
        <w:trPr>
          <w:trHeight w:val="2126"/>
        </w:trPr>
        <w:tc>
          <w:tcPr>
            <w:tcW w:w="4531" w:type="dxa"/>
          </w:tcPr>
          <w:p w:rsidR="003E27A7" w:rsidRPr="003E27A7" w:rsidRDefault="004A1A7C" w:rsidP="00C77CC3">
            <w:pPr>
              <w:rPr>
                <w:rFonts w:ascii="Theinhardt Light" w:hAnsi="Theinhardt Light"/>
              </w:rPr>
            </w:pPr>
            <w:bookmarkStart w:id="0" w:name="_GoBack"/>
            <w:bookmarkEnd w:id="0"/>
            <w:r>
              <w:rPr>
                <w:rFonts w:ascii="Theinhardt Light" w:hAnsi="Theinhardt Ligh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78.5pt">
                  <v:imagedata r:id="rId6" o:title="logo_Muzeum_PL_wysokie_M_HQ"/>
                </v:shape>
              </w:pict>
            </w:r>
          </w:p>
        </w:tc>
        <w:tc>
          <w:tcPr>
            <w:tcW w:w="4531" w:type="dxa"/>
          </w:tcPr>
          <w:p w:rsidR="003E27A7" w:rsidRPr="003E27A7" w:rsidRDefault="003E27A7" w:rsidP="003E27A7">
            <w:pPr>
              <w:jc w:val="right"/>
              <w:rPr>
                <w:rFonts w:ascii="Theinhardt Light" w:hAnsi="Theinhardt Light"/>
              </w:rPr>
            </w:pPr>
            <w:r w:rsidRPr="003E27A7">
              <w:rPr>
                <w:rFonts w:ascii="Theinhardt Light" w:hAnsi="Theinhardt Light"/>
              </w:rPr>
              <w:t>INFORMACJA PRASOWA</w:t>
            </w:r>
          </w:p>
          <w:p w:rsidR="003E27A7" w:rsidRDefault="003E27A7" w:rsidP="003E27A7">
            <w:pPr>
              <w:rPr>
                <w:rFonts w:ascii="Theinhardt Light" w:hAnsi="Theinhardt Light"/>
              </w:rPr>
            </w:pPr>
          </w:p>
          <w:p w:rsidR="003E27A7" w:rsidRPr="003E27A7" w:rsidRDefault="003E27A7" w:rsidP="003E27A7">
            <w:pPr>
              <w:rPr>
                <w:rFonts w:ascii="Theinhardt Light" w:hAnsi="Theinhardt Light"/>
              </w:rPr>
            </w:pPr>
          </w:p>
          <w:p w:rsidR="003E27A7" w:rsidRPr="003E27A7" w:rsidRDefault="003E27A7" w:rsidP="003E27A7">
            <w:pPr>
              <w:jc w:val="right"/>
              <w:rPr>
                <w:rFonts w:ascii="Theinhardt Light" w:hAnsi="Theinhardt Light"/>
                <w:b/>
                <w:sz w:val="32"/>
              </w:rPr>
            </w:pPr>
            <w:r w:rsidRPr="003E27A7">
              <w:rPr>
                <w:rFonts w:ascii="Theinhardt Light" w:hAnsi="Theinhardt Light"/>
                <w:b/>
                <w:sz w:val="32"/>
              </w:rPr>
              <w:t>„Coś wspólnego”</w:t>
            </w:r>
          </w:p>
          <w:p w:rsidR="003E27A7" w:rsidRPr="003E27A7" w:rsidRDefault="003E27A7" w:rsidP="003E27A7">
            <w:pPr>
              <w:jc w:val="right"/>
              <w:rPr>
                <w:rFonts w:ascii="Theinhardt Light" w:hAnsi="Theinhardt Light"/>
                <w:b/>
                <w:sz w:val="32"/>
              </w:rPr>
            </w:pPr>
            <w:r w:rsidRPr="003E27A7">
              <w:rPr>
                <w:rFonts w:ascii="Theinhardt Light" w:hAnsi="Theinhardt Light"/>
                <w:b/>
                <w:sz w:val="32"/>
              </w:rPr>
              <w:t>12. edyc</w:t>
            </w:r>
            <w:r>
              <w:rPr>
                <w:rFonts w:ascii="Theinhardt Light" w:hAnsi="Theinhardt Light"/>
                <w:b/>
                <w:sz w:val="32"/>
              </w:rPr>
              <w:t>ja festiwalu WARSZAWA W BUDOWIE</w:t>
            </w:r>
          </w:p>
          <w:p w:rsidR="003E27A7" w:rsidRDefault="003E27A7" w:rsidP="003E27A7">
            <w:pPr>
              <w:jc w:val="right"/>
              <w:rPr>
                <w:rFonts w:ascii="Theinhardt Light" w:hAnsi="Theinhardt Light"/>
              </w:rPr>
            </w:pPr>
          </w:p>
          <w:p w:rsidR="009863F1" w:rsidRPr="003E27A7" w:rsidRDefault="009863F1" w:rsidP="003E27A7">
            <w:pPr>
              <w:jc w:val="right"/>
              <w:rPr>
                <w:rFonts w:ascii="Theinhardt Light" w:hAnsi="Theinhardt Light"/>
              </w:rPr>
            </w:pPr>
          </w:p>
          <w:p w:rsidR="003E27A7" w:rsidRPr="003E27A7" w:rsidRDefault="003E27A7" w:rsidP="003E27A7">
            <w:pPr>
              <w:jc w:val="right"/>
              <w:rPr>
                <w:rFonts w:ascii="Theinhardt Light" w:hAnsi="Theinhardt Light"/>
              </w:rPr>
            </w:pPr>
            <w:r w:rsidRPr="003E27A7">
              <w:rPr>
                <w:rFonts w:ascii="Theinhardt Light" w:hAnsi="Theinhardt Light"/>
              </w:rPr>
              <w:t>2.10.2020 – 17.01.2021</w:t>
            </w:r>
          </w:p>
          <w:p w:rsidR="003E27A7" w:rsidRPr="003E27A7" w:rsidRDefault="003E27A7" w:rsidP="003E27A7">
            <w:pPr>
              <w:jc w:val="right"/>
              <w:rPr>
                <w:rFonts w:ascii="Theinhardt Light" w:hAnsi="Theinhardt Light"/>
              </w:rPr>
            </w:pPr>
            <w:r w:rsidRPr="003E27A7">
              <w:rPr>
                <w:rFonts w:ascii="Theinhardt Light" w:hAnsi="Theinhardt Light"/>
              </w:rPr>
              <w:t>Wybrzeże Kościuszkowskie 22</w:t>
            </w:r>
          </w:p>
        </w:tc>
      </w:tr>
    </w:tbl>
    <w:p w:rsidR="00C77CC3" w:rsidRPr="003E27A7" w:rsidRDefault="00C77CC3" w:rsidP="00C77CC3">
      <w:pPr>
        <w:rPr>
          <w:rFonts w:ascii="Theinhardt Light" w:hAnsi="Theinhardt Light"/>
        </w:rPr>
      </w:pPr>
    </w:p>
    <w:p w:rsidR="00C77CC3" w:rsidRDefault="00C77CC3" w:rsidP="00C77CC3">
      <w:pPr>
        <w:rPr>
          <w:rFonts w:ascii="Theinhardt Light" w:hAnsi="Theinhardt Light"/>
        </w:rPr>
      </w:pPr>
    </w:p>
    <w:p w:rsidR="001648EB" w:rsidRPr="003E27A7" w:rsidRDefault="001648EB" w:rsidP="00C77CC3">
      <w:pPr>
        <w:rPr>
          <w:rFonts w:ascii="Theinhardt Light" w:hAnsi="Theinhardt Light"/>
        </w:rPr>
      </w:pPr>
    </w:p>
    <w:p w:rsidR="00C77CC3" w:rsidRPr="009863F1" w:rsidRDefault="00C77CC3" w:rsidP="007838F2">
      <w:pPr>
        <w:jc w:val="both"/>
        <w:rPr>
          <w:rFonts w:ascii="Theinhardt Light" w:hAnsi="Theinhardt Light"/>
          <w:b/>
        </w:rPr>
      </w:pPr>
      <w:r w:rsidRPr="001648EB">
        <w:rPr>
          <w:rFonts w:ascii="Theinhardt Light" w:hAnsi="Theinhardt Light"/>
          <w:b/>
        </w:rPr>
        <w:t xml:space="preserve">Muzeum Sztuki Nowoczesnej w Warszawie zaprasza na </w:t>
      </w:r>
      <w:r w:rsidR="009863F1">
        <w:rPr>
          <w:rFonts w:ascii="Theinhardt Light" w:hAnsi="Theinhardt Light"/>
          <w:b/>
        </w:rPr>
        <w:t>wystawę</w:t>
      </w:r>
      <w:r w:rsidRPr="001648EB">
        <w:rPr>
          <w:rFonts w:ascii="Theinhardt Light" w:hAnsi="Theinhardt Light"/>
          <w:b/>
        </w:rPr>
        <w:t xml:space="preserve"> </w:t>
      </w:r>
      <w:r w:rsidR="0096175A">
        <w:rPr>
          <w:rFonts w:ascii="Theinhardt Light" w:hAnsi="Theinhardt Light"/>
          <w:b/>
        </w:rPr>
        <w:br/>
      </w:r>
      <w:r w:rsidR="009863F1">
        <w:rPr>
          <w:rFonts w:ascii="Theinhardt Light" w:hAnsi="Theinhardt Light"/>
          <w:b/>
        </w:rPr>
        <w:t>„Coś wspólnego” w ramach</w:t>
      </w:r>
      <w:r w:rsidRPr="001648EB">
        <w:rPr>
          <w:rFonts w:ascii="Theinhardt Light" w:hAnsi="Theinhardt Light"/>
          <w:b/>
        </w:rPr>
        <w:t xml:space="preserve"> 12. edycji festiwalu WARSZAWA W BUDOWIE. </w:t>
      </w:r>
    </w:p>
    <w:p w:rsidR="00C77CC3" w:rsidRPr="003E27A7" w:rsidRDefault="00C77CC3" w:rsidP="007838F2">
      <w:pPr>
        <w:jc w:val="both"/>
        <w:rPr>
          <w:rFonts w:ascii="Theinhardt Light" w:hAnsi="Theinhardt Light"/>
        </w:rPr>
      </w:pPr>
    </w:p>
    <w:p w:rsidR="00C77CC3" w:rsidRPr="003E27A7" w:rsidRDefault="00C77CC3" w:rsidP="007838F2">
      <w:pPr>
        <w:jc w:val="both"/>
        <w:rPr>
          <w:rFonts w:ascii="Theinhardt Light" w:hAnsi="Theinhardt Light"/>
        </w:rPr>
      </w:pPr>
      <w:r w:rsidRPr="003E27A7">
        <w:rPr>
          <w:rFonts w:ascii="Theinhardt Light" w:hAnsi="Theinhardt Light"/>
        </w:rPr>
        <w:t>W centrum tegorocznej edycji festiwalu WARSZAWA W BUDOWIE znalazła się wspólnota –  rozumiana w najprostszy i najbardziej bezpośredni sposób, jako wymiana praktycznych umiejętnośc</w:t>
      </w:r>
      <w:r w:rsidRPr="003E27A7">
        <w:rPr>
          <w:rFonts w:ascii="Theinhardt Light" w:hAnsi="Theinhardt Light" w:cs="Times New Roman"/>
        </w:rPr>
        <w:t>i</w:t>
      </w:r>
      <w:r w:rsidRPr="003E27A7">
        <w:rPr>
          <w:rFonts w:ascii="Theinhardt Light" w:hAnsi="Theinhardt Light"/>
        </w:rPr>
        <w:t xml:space="preserve"> oraz sąsiedzkich doświadczeń. Definiowana przez </w:t>
      </w:r>
      <w:r w:rsidR="001648EB">
        <w:rPr>
          <w:rFonts w:ascii="Theinhardt Light" w:hAnsi="Theinhardt Light"/>
        </w:rPr>
        <w:t xml:space="preserve">pojęcia troski i uważności, ale </w:t>
      </w:r>
      <w:r w:rsidRPr="003E27A7">
        <w:rPr>
          <w:rFonts w:ascii="Theinhardt Light" w:hAnsi="Theinhardt Light"/>
        </w:rPr>
        <w:t>i kontakty międzyludzkie czy otoczenie, które jej sprzyjają. Festiwal, który skupiał się dotąd na architekturze i projektowaniu miasta, przesuwa akcent z ulic i placów Warszawy na kwestie społecznych relacji</w:t>
      </w:r>
      <w:r w:rsidRPr="003E27A7">
        <w:rPr>
          <w:rFonts w:ascii="Theinhardt Light" w:hAnsi="Theinhardt Light" w:cs="Times New Roman"/>
        </w:rPr>
        <w:t xml:space="preserve"> </w:t>
      </w:r>
      <w:r w:rsidRPr="003E27A7">
        <w:rPr>
          <w:rFonts w:ascii="Theinhardt Light" w:hAnsi="Theinhardt Light"/>
        </w:rPr>
        <w:t xml:space="preserve">i na potrzeby jej mieszkanek </w:t>
      </w:r>
      <w:r w:rsidRPr="003E27A7">
        <w:rPr>
          <w:rFonts w:ascii="Theinhardt Light" w:hAnsi="Theinhardt Light" w:cs="Times New Roman"/>
        </w:rPr>
        <w:t xml:space="preserve">oraz </w:t>
      </w:r>
      <w:r w:rsidRPr="003E27A7">
        <w:rPr>
          <w:rFonts w:ascii="Theinhardt Light" w:hAnsi="Theinhardt Light"/>
        </w:rPr>
        <w:t xml:space="preserve"> mieszkańców, zapraszając małe grupy i mikrospołeczności do współpracy przy tworzeniu programu wspólnych działań. </w:t>
      </w:r>
    </w:p>
    <w:p w:rsidR="00C77CC3" w:rsidRPr="003E27A7" w:rsidRDefault="00C77CC3" w:rsidP="007838F2">
      <w:pPr>
        <w:jc w:val="both"/>
        <w:rPr>
          <w:rFonts w:ascii="Theinhardt Light" w:hAnsi="Theinhardt Light"/>
        </w:rPr>
      </w:pPr>
    </w:p>
    <w:p w:rsidR="00C77CC3" w:rsidRPr="003E27A7" w:rsidRDefault="00C77CC3" w:rsidP="007838F2">
      <w:pPr>
        <w:jc w:val="both"/>
        <w:rPr>
          <w:rFonts w:ascii="Theinhardt Light" w:hAnsi="Theinhardt Light"/>
        </w:rPr>
      </w:pPr>
      <w:r w:rsidRPr="003E27A7">
        <w:rPr>
          <w:rFonts w:ascii="Theinhardt Light" w:hAnsi="Theinhardt Light"/>
        </w:rPr>
        <w:t>Starając się znaleźć COŚ, musimy zmierzyć się z wieloma pytaniami: Czy możliwe jest życie wspólnotowe przy jednoczesnym zachowaniu prywatności? W jaki sposób – wobec postępującej w czasie pandemii nieufności – rozumieć gościnność? Jakie remedium na pogłębiające się podziały społeczne proponują artystki i artyści? Czy w sytuacji zagrożenia warto dzielić z sąsiadami coś więcej niż klatkę schodową?</w:t>
      </w:r>
    </w:p>
    <w:p w:rsidR="00C77CC3" w:rsidRPr="003E27A7" w:rsidRDefault="00C77CC3" w:rsidP="007838F2">
      <w:pPr>
        <w:jc w:val="both"/>
        <w:rPr>
          <w:rFonts w:ascii="Theinhardt Light" w:hAnsi="Theinhardt Light"/>
        </w:rPr>
      </w:pPr>
    </w:p>
    <w:p w:rsidR="008D329F" w:rsidRDefault="00C77CC3" w:rsidP="007838F2">
      <w:pPr>
        <w:jc w:val="both"/>
        <w:rPr>
          <w:rFonts w:ascii="Theinhardt Light" w:hAnsi="Theinhardt Light"/>
        </w:rPr>
      </w:pPr>
      <w:r w:rsidRPr="003E27A7">
        <w:rPr>
          <w:rFonts w:ascii="Theinhardt Light" w:hAnsi="Theinhardt Light"/>
        </w:rPr>
        <w:t xml:space="preserve">WARSZAWA W BUDOWIE rusza 2 października i potrwa do 17 </w:t>
      </w:r>
      <w:r w:rsidR="001648EB">
        <w:rPr>
          <w:rFonts w:ascii="Theinhardt Light" w:hAnsi="Theinhardt Light"/>
        </w:rPr>
        <w:t xml:space="preserve">stycznia 2021 roku. Składa się </w:t>
      </w:r>
      <w:r w:rsidRPr="003E27A7">
        <w:rPr>
          <w:rFonts w:ascii="Theinhardt Light" w:hAnsi="Theinhardt Light"/>
        </w:rPr>
        <w:t>z dwóch równorzędnych części: wystawy oraz programu w</w:t>
      </w:r>
      <w:r w:rsidR="008D329F">
        <w:rPr>
          <w:rFonts w:ascii="Theinhardt Light" w:hAnsi="Theinhardt Light"/>
        </w:rPr>
        <w:t>ydarzeń realizowanych</w:t>
      </w:r>
      <w:r w:rsidR="008D329F">
        <w:rPr>
          <w:rFonts w:ascii="Theinhardt Light" w:hAnsi="Theinhardt Light"/>
        </w:rPr>
        <w:br/>
      </w:r>
      <w:r w:rsidR="001648EB">
        <w:rPr>
          <w:rFonts w:ascii="Theinhardt Light" w:hAnsi="Theinhardt Light"/>
        </w:rPr>
        <w:t xml:space="preserve">w oparciu </w:t>
      </w:r>
      <w:r w:rsidRPr="003E27A7">
        <w:rPr>
          <w:rFonts w:ascii="Theinhardt Light" w:hAnsi="Theinhardt Light"/>
        </w:rPr>
        <w:t xml:space="preserve">o działania </w:t>
      </w:r>
      <w:r w:rsidRPr="003E27A7">
        <w:rPr>
          <w:rFonts w:ascii="Theinhardt Light" w:hAnsi="Theinhardt Light" w:cs="Times New Roman"/>
        </w:rPr>
        <w:t>siedmiu</w:t>
      </w:r>
      <w:r w:rsidRPr="003E27A7">
        <w:rPr>
          <w:rFonts w:ascii="Theinhardt Light" w:hAnsi="Theinhardt Light"/>
        </w:rPr>
        <w:t xml:space="preserve"> grup roboczych. Stałej ekspozycji w Muzeum nad Wisłą towarzyszyć będzie cykl debat, warsztatów, oprowadzań oraz dyskusji.</w:t>
      </w:r>
    </w:p>
    <w:p w:rsidR="00C77CC3" w:rsidRPr="003E27A7" w:rsidRDefault="00C77CC3" w:rsidP="007838F2">
      <w:pPr>
        <w:jc w:val="both"/>
        <w:rPr>
          <w:rFonts w:ascii="Theinhardt Light" w:hAnsi="Theinhardt Light"/>
        </w:rPr>
      </w:pPr>
      <w:r w:rsidRPr="003E27A7">
        <w:rPr>
          <w:rFonts w:ascii="Theinhardt Light" w:hAnsi="Theinhardt Light"/>
        </w:rPr>
        <w:br/>
        <w:t xml:space="preserve">Z wielu projektów prezentowanych na wystawie wynika, że wypracowanie konsensusu, umożliwiającego wspólne życie, może okazać się najlepszą inwestycją dla miasta. W ciągu zaledwie kilku miesięcy pandemia odcięła społeczeństwo od wielu form uczestnictwa </w:t>
      </w:r>
      <w:r w:rsidRPr="003E27A7">
        <w:rPr>
          <w:rFonts w:ascii="Theinhardt Light" w:hAnsi="Theinhardt Light" w:cs="Times New Roman"/>
        </w:rPr>
        <w:br/>
      </w:r>
      <w:r w:rsidRPr="003E27A7">
        <w:rPr>
          <w:rFonts w:ascii="Theinhardt Light" w:hAnsi="Theinhardt Light"/>
        </w:rPr>
        <w:t xml:space="preserve">i współobecności w sferze publicznej – spotkań, zgromadzeń, demonstracji, walnych czy towarzyskich zebrań. Trudno sobie jednak wyobrazić dobrze funkcjonujące społeczeństwo bez gościnności, wsparcia i opieki. Dlatego jednym z głównych zagadnień podejmowanych </w:t>
      </w:r>
      <w:r w:rsidRPr="003E27A7">
        <w:rPr>
          <w:rFonts w:ascii="Theinhardt Light" w:hAnsi="Theinhardt Light" w:cs="Times New Roman"/>
        </w:rPr>
        <w:br/>
      </w:r>
      <w:r w:rsidRPr="003E27A7">
        <w:rPr>
          <w:rFonts w:ascii="Theinhardt Light" w:hAnsi="Theinhardt Light"/>
        </w:rPr>
        <w:t xml:space="preserve">w tegorocznej edycji festiwalu WARSZAWA W BUDOWIE jest możliwość aktywnego </w:t>
      </w:r>
      <w:r w:rsidRPr="003E27A7">
        <w:rPr>
          <w:rFonts w:ascii="Theinhardt Light" w:hAnsi="Theinhardt Light"/>
        </w:rPr>
        <w:lastRenderedPageBreak/>
        <w:t xml:space="preserve">angażowania się mieszkańców w kształtowanie swojego otoczenia, w szczególności w </w:t>
      </w:r>
      <w:r w:rsidRPr="003E27A7">
        <w:rPr>
          <w:rFonts w:ascii="Theinhardt Light" w:hAnsi="Theinhardt Light"/>
          <w:i/>
        </w:rPr>
        <w:t>co-housingi</w:t>
      </w:r>
      <w:r w:rsidRPr="003E27A7">
        <w:rPr>
          <w:rFonts w:ascii="Theinhardt Light" w:hAnsi="Theinhardt Light"/>
        </w:rPr>
        <w:t>, w jakie organizują się seniorzy. O realizowanych na świecie dobrych przestrzeniach publicznych oraz tworzeniu miejsc i rozwiązań dla aktywnego starzenia się opowiadać będzie socjolożka Marta Trakul</w:t>
      </w:r>
      <w:r w:rsidRPr="003E27A7">
        <w:rPr>
          <w:rFonts w:ascii="Theinhardt Light" w:hAnsi="Theinhardt Light" w:cs="Times New Roman"/>
        </w:rPr>
        <w:t>-Masłowska</w:t>
      </w:r>
      <w:r w:rsidRPr="003E27A7">
        <w:rPr>
          <w:rFonts w:ascii="Theinhardt Light" w:hAnsi="Theinhardt Light"/>
        </w:rPr>
        <w:t>. „Myśląc o seniorac</w:t>
      </w:r>
      <w:r w:rsidR="008D329F">
        <w:rPr>
          <w:rFonts w:ascii="Theinhardt Light" w:hAnsi="Theinhardt Light"/>
        </w:rPr>
        <w:t>h, należy pamiętać, szczególnie</w:t>
      </w:r>
      <w:r w:rsidR="008D329F">
        <w:rPr>
          <w:rFonts w:ascii="Theinhardt Light" w:hAnsi="Theinhardt Light"/>
        </w:rPr>
        <w:br/>
      </w:r>
      <w:r w:rsidRPr="003E27A7">
        <w:rPr>
          <w:rFonts w:ascii="Theinhardt Light" w:hAnsi="Theinhardt Light"/>
        </w:rPr>
        <w:t xml:space="preserve">w kontekście pandemii, o szkodliwym wpływie samotności na zdrowie. </w:t>
      </w:r>
      <w:r w:rsidRPr="003E27A7">
        <w:rPr>
          <w:rFonts w:ascii="Theinhardt Light" w:hAnsi="Theinhardt Light"/>
          <w:i/>
        </w:rPr>
        <w:t>Co-housingi</w:t>
      </w:r>
      <w:r w:rsidRPr="003E27A7">
        <w:rPr>
          <w:rFonts w:ascii="Theinhardt Light" w:hAnsi="Theinhardt Light"/>
        </w:rPr>
        <w:t xml:space="preserve"> tworzone są zwykle przez grupy znajomych, których łączy światopogląd i etap życia. Mieszkania te zorganizowane są najczęściej wokół ogólnodostępnej przestrzeni, takiej jak jadalnia, ogród czy salon. Owiany </w:t>
      </w:r>
      <w:r w:rsidRPr="003E27A7">
        <w:rPr>
          <w:rFonts w:ascii="Theinhardt Light" w:hAnsi="Theinhardt Light" w:cs="Times New Roman"/>
        </w:rPr>
        <w:t xml:space="preserve">dotychczas </w:t>
      </w:r>
      <w:r w:rsidRPr="003E27A7">
        <w:rPr>
          <w:rFonts w:ascii="Theinhardt Light" w:hAnsi="Theinhardt Light"/>
        </w:rPr>
        <w:t xml:space="preserve">aurą tajemnicy, niszowy sposób na życie stał </w:t>
      </w:r>
      <w:r w:rsidRPr="003E27A7">
        <w:rPr>
          <w:rFonts w:ascii="Theinhardt Light" w:hAnsi="Theinhardt Light" w:cs="Times New Roman"/>
        </w:rPr>
        <w:t xml:space="preserve">się </w:t>
      </w:r>
      <w:r w:rsidRPr="003E27A7">
        <w:rPr>
          <w:rFonts w:ascii="Theinhardt Light" w:hAnsi="Theinhardt Light"/>
        </w:rPr>
        <w:t>po prostu jednym z dostępnych modeli” – mówi Tomasz Fudala, kurator festiwalu.</w:t>
      </w:r>
    </w:p>
    <w:p w:rsidR="00C77CC3" w:rsidRPr="003E27A7" w:rsidRDefault="00C77CC3" w:rsidP="007838F2">
      <w:pPr>
        <w:jc w:val="both"/>
        <w:rPr>
          <w:rFonts w:ascii="Theinhardt Light" w:hAnsi="Theinhardt Light"/>
          <w:i/>
        </w:rPr>
      </w:pPr>
    </w:p>
    <w:p w:rsidR="00C77CC3" w:rsidRPr="003E27A7" w:rsidRDefault="00C77CC3" w:rsidP="007838F2">
      <w:pPr>
        <w:jc w:val="both"/>
        <w:rPr>
          <w:rFonts w:ascii="Theinhardt Light" w:hAnsi="Theinhardt Light"/>
        </w:rPr>
      </w:pPr>
      <w:r w:rsidRPr="003E27A7">
        <w:rPr>
          <w:rFonts w:ascii="Theinhardt Light" w:hAnsi="Theinhardt Light"/>
        </w:rPr>
        <w:t>Kryzys dotykający dziś niemal wszystkie dziedziny życia może być punktem wyjścia do przemyślenia uniwersalnych wartości bez względu na polityczne podziały. Troskę łatwo jednak przeoczyć. Nie należy jej także mylić z aktem dobro</w:t>
      </w:r>
      <w:r w:rsidR="008D329F">
        <w:rPr>
          <w:rFonts w:ascii="Theinhardt Light" w:hAnsi="Theinhardt Light"/>
        </w:rPr>
        <w:t>czynności. Można ją zawłaszczyć</w:t>
      </w:r>
      <w:r w:rsidR="008D329F">
        <w:rPr>
          <w:rFonts w:ascii="Theinhardt Light" w:hAnsi="Theinhardt Light"/>
        </w:rPr>
        <w:br/>
      </w:r>
      <w:r w:rsidRPr="003E27A7">
        <w:rPr>
          <w:rFonts w:ascii="Theinhardt Light" w:hAnsi="Theinhardt Light"/>
        </w:rPr>
        <w:t xml:space="preserve">i eksploatować, a nieraz przyjmuje ona formę patetycznego pochylania się nad słabszymi. „Chcemy pokazać, że nieukierunkowane pomaganie bez </w:t>
      </w:r>
      <w:r w:rsidRPr="003E27A7">
        <w:rPr>
          <w:rFonts w:ascii="Theinhardt Light" w:hAnsi="Theinhardt Light" w:cs="Times New Roman"/>
        </w:rPr>
        <w:t>przyjrzenia się realnym potrzebom</w:t>
      </w:r>
      <w:r w:rsidRPr="003E27A7">
        <w:rPr>
          <w:rFonts w:ascii="Theinhardt Light" w:hAnsi="Theinhardt Light"/>
        </w:rPr>
        <w:t xml:space="preserve"> najczęściej niewiele zmienia w życiu osób potrzebujących i </w:t>
      </w:r>
      <w:r w:rsidRPr="003E27A7">
        <w:rPr>
          <w:rFonts w:ascii="Theinhardt Light" w:hAnsi="Theinhardt Light" w:cs="Times New Roman"/>
        </w:rPr>
        <w:t>jest</w:t>
      </w:r>
      <w:r w:rsidRPr="003E27A7">
        <w:rPr>
          <w:rFonts w:ascii="Theinhardt Light" w:hAnsi="Theinhardt Light"/>
        </w:rPr>
        <w:t xml:space="preserve"> nieskuteczne. Ubrania, które otrzymały czeczeńskie kobiety z Ośrodka dla Cudzoziemców w </w:t>
      </w:r>
      <w:r w:rsidRPr="003E27A7">
        <w:rPr>
          <w:rFonts w:ascii="Theinhardt Light" w:hAnsi="Theinhardt Light" w:cs="Theinhardt Light"/>
        </w:rPr>
        <w:t>Ł</w:t>
      </w:r>
      <w:r w:rsidRPr="003E27A7">
        <w:rPr>
          <w:rFonts w:ascii="Theinhardt Light" w:hAnsi="Theinhardt Light"/>
        </w:rPr>
        <w:t>ukowie, okaza</w:t>
      </w:r>
      <w:r w:rsidRPr="003E27A7">
        <w:rPr>
          <w:rFonts w:ascii="Theinhardt Light" w:hAnsi="Theinhardt Light" w:cs="Theinhardt Light"/>
        </w:rPr>
        <w:t>ł</w:t>
      </w:r>
      <w:r w:rsidRPr="003E27A7">
        <w:rPr>
          <w:rFonts w:ascii="Theinhardt Light" w:hAnsi="Theinhardt Light"/>
        </w:rPr>
        <w:t>y si</w:t>
      </w:r>
      <w:r w:rsidRPr="003E27A7">
        <w:rPr>
          <w:rFonts w:ascii="Theinhardt Light" w:hAnsi="Theinhardt Light" w:cs="Theinhardt Light"/>
        </w:rPr>
        <w:t>ę</w:t>
      </w:r>
      <w:r w:rsidRPr="003E27A7">
        <w:rPr>
          <w:rFonts w:ascii="Theinhardt Light" w:hAnsi="Theinhardt Light"/>
        </w:rPr>
        <w:t xml:space="preserve"> niedostosowane do ich potrzeb, co wi</w:t>
      </w:r>
      <w:r w:rsidRPr="003E27A7">
        <w:rPr>
          <w:rFonts w:ascii="Theinhardt Light" w:hAnsi="Theinhardt Light" w:cs="Theinhardt Light"/>
        </w:rPr>
        <w:t>ę</w:t>
      </w:r>
      <w:r w:rsidRPr="003E27A7">
        <w:rPr>
          <w:rFonts w:ascii="Theinhardt Light" w:hAnsi="Theinhardt Light"/>
        </w:rPr>
        <w:t xml:space="preserve">cej </w:t>
      </w:r>
      <w:r w:rsidRPr="003E27A7">
        <w:rPr>
          <w:rFonts w:ascii="Theinhardt Light" w:hAnsi="Theinhardt Light" w:cs="Theinhardt Light"/>
        </w:rPr>
        <w:t>–</w:t>
      </w:r>
      <w:r w:rsidRPr="003E27A7">
        <w:rPr>
          <w:rFonts w:ascii="Theinhardt Light" w:hAnsi="Theinhardt Light"/>
        </w:rPr>
        <w:t xml:space="preserve"> </w:t>
      </w:r>
      <w:r w:rsidRPr="003E27A7">
        <w:rPr>
          <w:rFonts w:ascii="Theinhardt Light" w:hAnsi="Theinhardt Light" w:cs="Times New Roman"/>
        </w:rPr>
        <w:t>przekazano</w:t>
      </w:r>
      <w:r w:rsidRPr="003E27A7">
        <w:rPr>
          <w:rFonts w:ascii="Theinhardt Light" w:hAnsi="Theinhardt Light"/>
        </w:rPr>
        <w:t xml:space="preserve"> ich zbyt dużo.  Artystka Pamela Bożek zaproponowała zszycie ich w jedna</w:t>
      </w:r>
      <w:r w:rsidRPr="003E27A7">
        <w:rPr>
          <w:rFonts w:ascii="Arial" w:hAnsi="Arial" w:cs="Arial"/>
        </w:rPr>
        <w:t>̨</w:t>
      </w:r>
      <w:r w:rsidRPr="003E27A7">
        <w:rPr>
          <w:rFonts w:ascii="Theinhardt Light" w:hAnsi="Theinhardt Light"/>
        </w:rPr>
        <w:t xml:space="preserve"> tkanine</w:t>
      </w:r>
      <w:r w:rsidRPr="003E27A7">
        <w:rPr>
          <w:rFonts w:ascii="Arial" w:hAnsi="Arial" w:cs="Arial"/>
        </w:rPr>
        <w:t>̨</w:t>
      </w:r>
      <w:r w:rsidRPr="003E27A7">
        <w:rPr>
          <w:rFonts w:ascii="Theinhardt Light" w:hAnsi="Theinhardt Light"/>
        </w:rPr>
        <w:t xml:space="preserve"> o d</w:t>
      </w:r>
      <w:r w:rsidRPr="003E27A7">
        <w:rPr>
          <w:rFonts w:ascii="Theinhardt Light" w:hAnsi="Theinhardt Light" w:cs="Theinhardt Light"/>
        </w:rPr>
        <w:t>ł</w:t>
      </w:r>
      <w:r w:rsidRPr="003E27A7">
        <w:rPr>
          <w:rFonts w:ascii="Theinhardt Light" w:hAnsi="Theinhardt Light"/>
        </w:rPr>
        <w:t>ugo</w:t>
      </w:r>
      <w:r w:rsidRPr="003E27A7">
        <w:rPr>
          <w:rFonts w:ascii="Theinhardt Light" w:hAnsi="Theinhardt Light" w:cs="Theinhardt Light"/>
        </w:rPr>
        <w:t>ś</w:t>
      </w:r>
      <w:r w:rsidRPr="003E27A7">
        <w:rPr>
          <w:rFonts w:ascii="Theinhardt Light" w:hAnsi="Theinhardt Light"/>
        </w:rPr>
        <w:t>ci 20 metr</w:t>
      </w:r>
      <w:r w:rsidRPr="003E27A7">
        <w:rPr>
          <w:rFonts w:ascii="Theinhardt Light" w:hAnsi="Theinhardt Light" w:cs="Theinhardt Light"/>
        </w:rPr>
        <w:t>ó</w:t>
      </w:r>
      <w:r w:rsidRPr="003E27A7">
        <w:rPr>
          <w:rFonts w:ascii="Theinhardt Light" w:hAnsi="Theinhardt Light"/>
        </w:rPr>
        <w:t>w. Ten symbol pomocy, kt</w:t>
      </w:r>
      <w:r w:rsidRPr="003E27A7">
        <w:rPr>
          <w:rFonts w:ascii="Theinhardt Light" w:hAnsi="Theinhardt Light" w:cs="Theinhardt Light"/>
        </w:rPr>
        <w:t>ó</w:t>
      </w:r>
      <w:r w:rsidRPr="003E27A7">
        <w:rPr>
          <w:rFonts w:ascii="Theinhardt Light" w:hAnsi="Theinhardt Light"/>
        </w:rPr>
        <w:t>ra nie zawsze trafia w potrzeby, a s</w:t>
      </w:r>
      <w:r w:rsidRPr="003E27A7">
        <w:rPr>
          <w:rFonts w:ascii="Theinhardt Light" w:hAnsi="Theinhardt Light" w:cs="Theinhardt Light"/>
        </w:rPr>
        <w:t>ł</w:t>
      </w:r>
      <w:r w:rsidRPr="003E27A7">
        <w:rPr>
          <w:rFonts w:ascii="Theinhardt Light" w:hAnsi="Theinhardt Light"/>
        </w:rPr>
        <w:t>u</w:t>
      </w:r>
      <w:r w:rsidRPr="003E27A7">
        <w:rPr>
          <w:rFonts w:ascii="Theinhardt Light" w:hAnsi="Theinhardt Light" w:cs="Theinhardt Light"/>
        </w:rPr>
        <w:t>ż</w:t>
      </w:r>
      <w:r w:rsidRPr="003E27A7">
        <w:rPr>
          <w:rFonts w:ascii="Theinhardt Light" w:hAnsi="Theinhardt Light"/>
        </w:rPr>
        <w:t>y raczej spe</w:t>
      </w:r>
      <w:r w:rsidRPr="003E27A7">
        <w:rPr>
          <w:rFonts w:ascii="Theinhardt Light" w:hAnsi="Theinhardt Light" w:cs="Theinhardt Light"/>
        </w:rPr>
        <w:t>ł</w:t>
      </w:r>
      <w:r w:rsidRPr="003E27A7">
        <w:rPr>
          <w:rFonts w:ascii="Theinhardt Light" w:hAnsi="Theinhardt Light"/>
        </w:rPr>
        <w:t>nianiu fantazji o w</w:t>
      </w:r>
      <w:r w:rsidRPr="003E27A7">
        <w:rPr>
          <w:rFonts w:ascii="Theinhardt Light" w:hAnsi="Theinhardt Light" w:cs="Theinhardt Light"/>
        </w:rPr>
        <w:t>ł</w:t>
      </w:r>
      <w:r w:rsidRPr="003E27A7">
        <w:rPr>
          <w:rFonts w:ascii="Theinhardt Light" w:hAnsi="Theinhardt Light"/>
        </w:rPr>
        <w:t>asnej dobroci, b</w:t>
      </w:r>
      <w:r w:rsidRPr="003E27A7">
        <w:rPr>
          <w:rFonts w:ascii="Theinhardt Light" w:hAnsi="Theinhardt Light" w:cs="Theinhardt Light"/>
        </w:rPr>
        <w:t>ę</w:t>
      </w:r>
      <w:r w:rsidRPr="003E27A7">
        <w:rPr>
          <w:rFonts w:ascii="Theinhardt Light" w:hAnsi="Theinhardt Light"/>
        </w:rPr>
        <w:t>dzie w centrum naszej wystawy</w:t>
      </w:r>
      <w:r w:rsidRPr="003E27A7">
        <w:rPr>
          <w:rFonts w:ascii="Theinhardt Light" w:hAnsi="Theinhardt Light" w:cs="Theinhardt Light"/>
        </w:rPr>
        <w:t>”</w:t>
      </w:r>
      <w:r w:rsidRPr="003E27A7">
        <w:rPr>
          <w:rFonts w:ascii="Theinhardt Light" w:hAnsi="Theinhardt Light"/>
        </w:rPr>
        <w:t xml:space="preserve"> </w:t>
      </w:r>
      <w:r w:rsidRPr="003E27A7">
        <w:rPr>
          <w:rFonts w:ascii="Theinhardt Light" w:hAnsi="Theinhardt Light" w:cs="Theinhardt Light"/>
        </w:rPr>
        <w:t>–</w:t>
      </w:r>
      <w:r w:rsidRPr="003E27A7">
        <w:rPr>
          <w:rFonts w:ascii="Theinhardt Light" w:hAnsi="Theinhardt Light"/>
        </w:rPr>
        <w:t xml:space="preserve"> m</w:t>
      </w:r>
      <w:r w:rsidRPr="003E27A7">
        <w:rPr>
          <w:rFonts w:ascii="Theinhardt Light" w:hAnsi="Theinhardt Light" w:cs="Theinhardt Light"/>
        </w:rPr>
        <w:t>ó</w:t>
      </w:r>
      <w:r w:rsidRPr="003E27A7">
        <w:rPr>
          <w:rFonts w:ascii="Theinhardt Light" w:hAnsi="Theinhardt Light"/>
        </w:rPr>
        <w:t>wi Natalia Sielewicz, kuratorka festiwalu.</w:t>
      </w:r>
    </w:p>
    <w:p w:rsidR="00C77CC3" w:rsidRPr="003E27A7" w:rsidRDefault="00C77CC3" w:rsidP="007838F2">
      <w:pPr>
        <w:jc w:val="both"/>
        <w:rPr>
          <w:rFonts w:ascii="Theinhardt Light" w:hAnsi="Theinhardt Light" w:cs="Times New Roman"/>
        </w:rPr>
      </w:pPr>
    </w:p>
    <w:p w:rsidR="00C77CC3" w:rsidRPr="003E27A7" w:rsidRDefault="00C77CC3" w:rsidP="007838F2">
      <w:pPr>
        <w:jc w:val="both"/>
        <w:rPr>
          <w:rFonts w:ascii="Theinhardt Light" w:hAnsi="Theinhardt Light"/>
        </w:rPr>
      </w:pPr>
      <w:r w:rsidRPr="003E27A7">
        <w:rPr>
          <w:rFonts w:ascii="Theinhardt Light" w:hAnsi="Theinhardt Light"/>
        </w:rPr>
        <w:t xml:space="preserve">Festiwal WARSZAWA W BUDOWIE zajmował się dotąd architekturą i planowaniem przestrzennym miasta. Istnieje jednak wiele innych obszarów, które mają równie duży wpływ na jakość życia w Warszawie i mogą okazać się kluczowe dla lokalnych społeczności: wzajemna pomoc i wspieranie się w codziennych czynnościach, świadome </w:t>
      </w:r>
      <w:r w:rsidRPr="003E27A7">
        <w:rPr>
          <w:rFonts w:ascii="Theinhardt Light" w:hAnsi="Theinhardt Light" w:cs="Times New Roman"/>
        </w:rPr>
        <w:t>zarządzenie</w:t>
      </w:r>
      <w:r w:rsidRPr="003E27A7">
        <w:rPr>
          <w:rFonts w:ascii="Theinhardt Light" w:hAnsi="Theinhardt Light"/>
        </w:rPr>
        <w:t xml:space="preserve"> danymi cyfrowymi, które może dobrze służyć wspólnotom, czy podtrzymywanie dialogu społecznego i zaproszenie do niego nowych mieszkanek i mieszkańców. W</w:t>
      </w:r>
      <w:r w:rsidRPr="003E27A7">
        <w:rPr>
          <w:rFonts w:ascii="Theinhardt Light" w:hAnsi="Theinhardt Light" w:cs="Times New Roman"/>
        </w:rPr>
        <w:t xml:space="preserve">łaśnie w </w:t>
      </w:r>
      <w:r w:rsidRPr="003E27A7">
        <w:rPr>
          <w:rFonts w:ascii="Theinhardt Light" w:hAnsi="Theinhardt Light"/>
        </w:rPr>
        <w:t xml:space="preserve">te ostatnie działania mogą włączyć się instytucje kultury. Pandemia gwałtowanie zmieniła świat, pozbawiła nas złudzenia, że możemy przewidzieć najbliższą przyszłość. A </w:t>
      </w:r>
      <w:r w:rsidRPr="003E27A7">
        <w:rPr>
          <w:rFonts w:ascii="Theinhardt Light" w:hAnsi="Theinhardt Light" w:cs="Times New Roman"/>
        </w:rPr>
        <w:t>powrót</w:t>
      </w:r>
      <w:r w:rsidRPr="003E27A7">
        <w:rPr>
          <w:rFonts w:ascii="Theinhardt Light" w:hAnsi="Theinhardt Light"/>
        </w:rPr>
        <w:t xml:space="preserve"> do starego porządku </w:t>
      </w:r>
      <w:r w:rsidRPr="003E27A7">
        <w:rPr>
          <w:rFonts w:ascii="Theinhardt Light" w:hAnsi="Theinhardt Light" w:cs="Times New Roman"/>
        </w:rPr>
        <w:t>wydaje się</w:t>
      </w:r>
      <w:r w:rsidRPr="003E27A7">
        <w:rPr>
          <w:rFonts w:ascii="Theinhardt Light" w:hAnsi="Theinhardt Light"/>
        </w:rPr>
        <w:t xml:space="preserve"> tym razem niemożliwy. Jednym z kluczowych wyzwań, stojących także przed Muzeum Sztuki Nowoczesnej w Warszawie – szczególnie w kontekście budowanej właśnie siedziby na placu Defilad – jest potrzeba zdefiniowania na nowo misji instytucji kultury i sztuki. „W czasie festiwalu wspólnie z</w:t>
      </w:r>
      <w:r w:rsidRPr="003E27A7">
        <w:rPr>
          <w:rFonts w:ascii="Theinhardt Light" w:hAnsi="Theinhardt Light" w:cs="Times New Roman"/>
        </w:rPr>
        <w:t xml:space="preserve"> koleżankami i</w:t>
      </w:r>
      <w:r w:rsidRPr="003E27A7">
        <w:rPr>
          <w:rFonts w:ascii="Theinhardt Light" w:hAnsi="Theinhardt Light"/>
        </w:rPr>
        <w:t xml:space="preserve"> kolegami z Ukrainy stworzymy modelowy program budowania nowej miejskiej wspólnoty, dla której nasze Muzeum stanie się bazą. Zaproponujemy też rozwiązania prawne umożliwiające tworzenie lokalnych sąsiedzkich klubów w opuszczonych lokalach. Potrzebujemy zmiany perspektywy, nowych miejskich aktywności wychodzących poza bycie </w:t>
      </w:r>
      <w:r w:rsidRPr="003E27A7">
        <w:rPr>
          <w:rFonts w:ascii="Theinhardt Light" w:hAnsi="Theinhardt Light" w:cs="Times New Roman"/>
        </w:rPr>
        <w:t xml:space="preserve">jedynie </w:t>
      </w:r>
      <w:r w:rsidRPr="003E27A7">
        <w:rPr>
          <w:rFonts w:ascii="Theinhardt Light" w:hAnsi="Theinhardt Light"/>
        </w:rPr>
        <w:t>konsumentem. W ramach wystawy pokażemy eksperymentalną architekturę Marty Krześlak i Zuzy Golińskiej zaprojektowaną tak, by zachęcić odbiorcę do nowego spojrzenia na własne otoczenie. Będzie to rodzaj zaproszenia do przewartościowania różnych elementów, z których składają się nasze miasta” – dodaje Tomasz Fudala, kurator festiwalu.</w:t>
      </w:r>
    </w:p>
    <w:p w:rsidR="00C77CC3" w:rsidRPr="003E27A7" w:rsidRDefault="00C77CC3" w:rsidP="007838F2">
      <w:pPr>
        <w:jc w:val="both"/>
        <w:rPr>
          <w:rFonts w:ascii="Theinhardt Light" w:hAnsi="Theinhardt Light" w:cs="Times New Roman"/>
          <w:i/>
        </w:rPr>
      </w:pPr>
      <w:r w:rsidRPr="003E27A7">
        <w:rPr>
          <w:rFonts w:ascii="Theinhardt Light" w:hAnsi="Theinhardt Light"/>
        </w:rPr>
        <w:t> </w:t>
      </w:r>
    </w:p>
    <w:p w:rsidR="00C77CC3" w:rsidRDefault="00C77CC3" w:rsidP="007838F2">
      <w:pPr>
        <w:jc w:val="both"/>
        <w:rPr>
          <w:rFonts w:ascii="Theinhardt Light" w:hAnsi="Theinhardt Light"/>
        </w:rPr>
      </w:pPr>
      <w:r w:rsidRPr="003E27A7">
        <w:rPr>
          <w:rFonts w:ascii="Theinhardt Light" w:hAnsi="Theinhardt Light"/>
        </w:rPr>
        <w:lastRenderedPageBreak/>
        <w:t>WARSZAWA W BUDOWIE potrwa aż do 17 stycznia 2021, 12. edycja festiwalu to kilkumiesięczny proces poznawania, warsztat z dzielenia się doświadczeniami i współpracy. Ma nam pomóc zobaczyć nowy, ujawniony podczas pandemii potencjał miasta: COŚ WSPÓLNEGO.</w:t>
      </w:r>
    </w:p>
    <w:p w:rsidR="00ED3898" w:rsidRDefault="00ED3898" w:rsidP="007838F2">
      <w:pPr>
        <w:jc w:val="both"/>
        <w:rPr>
          <w:rFonts w:ascii="Theinhardt Light" w:hAnsi="Theinhardt Light"/>
        </w:rPr>
      </w:pPr>
    </w:p>
    <w:p w:rsidR="00ED3898" w:rsidRPr="00DD6ACD" w:rsidRDefault="00ED3898" w:rsidP="00ED3898">
      <w:pPr>
        <w:shd w:val="clear" w:color="auto" w:fill="FFFFFF"/>
        <w:rPr>
          <w:rFonts w:ascii="Theinhardt Light" w:hAnsi="Theinhardt Light" w:cs="Times New Roman"/>
          <w:b/>
          <w:color w:val="000000"/>
          <w:lang w:val="cs-CZ"/>
        </w:rPr>
      </w:pPr>
      <w:r w:rsidRPr="00DD6ACD">
        <w:rPr>
          <w:rFonts w:ascii="Theinhardt Light" w:hAnsi="Theinhardt Light" w:cs="Times New Roman"/>
          <w:b/>
          <w:color w:val="000000"/>
          <w:lang w:val="cs-CZ"/>
        </w:rPr>
        <w:t>Kuratorzy:</w:t>
      </w:r>
    </w:p>
    <w:p w:rsidR="00ED3898" w:rsidRPr="00073863" w:rsidRDefault="00ED3898" w:rsidP="00ED3898">
      <w:pPr>
        <w:shd w:val="clear" w:color="auto" w:fill="FFFFFF"/>
        <w:rPr>
          <w:rFonts w:ascii="Theinhardt Light" w:hAnsi="Theinhardt Light" w:cs="Times New Roman"/>
          <w:color w:val="000000"/>
          <w:lang w:val="cs-CZ"/>
        </w:rPr>
      </w:pPr>
      <w:r w:rsidRPr="003E27A7">
        <w:rPr>
          <w:rFonts w:ascii="Theinhardt Light" w:hAnsi="Theinhardt Light" w:cs="Times New Roman"/>
          <w:color w:val="000000"/>
          <w:lang w:val="cs-CZ"/>
        </w:rPr>
        <w:t>Tomasz Fudala, Natalia Sielewicz</w:t>
      </w:r>
    </w:p>
    <w:p w:rsidR="00C77CC3" w:rsidRPr="003E27A7" w:rsidRDefault="00C77CC3" w:rsidP="007838F2">
      <w:pPr>
        <w:jc w:val="both"/>
        <w:rPr>
          <w:rFonts w:ascii="Theinhardt Light" w:hAnsi="Theinhardt Light" w:cs="Times New Roman"/>
        </w:rPr>
      </w:pPr>
    </w:p>
    <w:p w:rsidR="00DD6ACD" w:rsidRPr="00DD6ACD" w:rsidRDefault="00DD6ACD" w:rsidP="00DD6ACD">
      <w:pPr>
        <w:shd w:val="clear" w:color="auto" w:fill="FFFFFF"/>
        <w:spacing w:line="300" w:lineRule="atLeast"/>
        <w:jc w:val="both"/>
        <w:textAlignment w:val="baseline"/>
        <w:outlineLvl w:val="2"/>
        <w:rPr>
          <w:rFonts w:ascii="Theinhardt Light" w:eastAsia="Times New Roman" w:hAnsi="Theinhardt Light" w:cs="Helvetica"/>
          <w:b/>
          <w:color w:val="000000"/>
          <w:lang w:eastAsia="pl-PL"/>
        </w:rPr>
      </w:pPr>
      <w:r w:rsidRPr="00DD6ACD">
        <w:rPr>
          <w:rFonts w:ascii="Theinhardt Light" w:eastAsia="Times New Roman" w:hAnsi="Theinhardt Light" w:cs="Helvetica"/>
          <w:b/>
          <w:color w:val="000000"/>
          <w:lang w:eastAsia="pl-PL"/>
        </w:rPr>
        <w:t>Uczestniczki i Uczestnicy:</w:t>
      </w:r>
    </w:p>
    <w:p w:rsidR="00DD6ACD" w:rsidRPr="00DD6ACD" w:rsidRDefault="00DD6ACD" w:rsidP="00DD6ACD">
      <w:pPr>
        <w:shd w:val="clear" w:color="auto" w:fill="FFFFFF"/>
        <w:jc w:val="both"/>
        <w:textAlignment w:val="baseline"/>
        <w:rPr>
          <w:rFonts w:ascii="Theinhardt Light" w:eastAsia="Times New Roman" w:hAnsi="Theinhardt Light" w:cs="Helvetica"/>
          <w:color w:val="000000"/>
          <w:lang w:eastAsia="pl-PL"/>
        </w:rPr>
      </w:pPr>
      <w:r w:rsidRPr="00DD6ACD">
        <w:rPr>
          <w:rFonts w:ascii="Theinhardt Light" w:eastAsia="Times New Roman" w:hAnsi="Theinhardt Light" w:cs="Helvetica"/>
          <w:color w:val="000000"/>
          <w:lang w:eastAsia="pl-PL"/>
        </w:rPr>
        <w:t>Sara Alexandre, Marta Bartkowska, Józefina Bartyzel, Maria Beburia, Pamela Bożek, Paweł Brylski, Artur Celiński, Agnieszka Cieśla, Marta Czyż, Wojciech Dada, Aleksandra Dengo, Agnieszka Dragon, Magdalena Drągowska, Marianna Dobkowska, Rafał Dominik, Michał Frydrych, Taras Gembik, Zuza Golińska, Katarzyna Górna, Anna Grajewska, Grupa Za* (Yura Biley, Vera Zalutskaya, Yulia Krivich), Karolina Grzywnowicz, Rafał Jakubowicz, Ida Karkoszka, Kacper Kępiński, Daniel Kotowski, Dominika Kowynia, Marta Krześlak, Kaja Kusztra, Kasper Lecnim, Michał Łukaszuk, Ewa Majewska, Marta Skowrońska-Markiewicz, Marta Trakul-Masłowska, Noemi Ndoloka Mbezi, Martyna Miller, Julia Minasiewicz, Jan Możdżyński, Amy Muhoro i Weronika Wysocka, Margaret Ohia-Nowak, Oleg&amp;Kaśka, Ada Petriczko, Kamil Pierwszy (Galeria Serce Człowieka), Post Studio Noviki, Marta Przasnek, Marta Przybył, Mariola Przyjemska, Alicja Rogalska, Jakub Rudziński, Irmina Rusicka, Daniel Rycharski, Tomasz Saciłowski, Beata Siemieniako, Mikołaj Sobczak, Kacha Szaniawska, Kuba Szreder, Małgorzata Mirga-Tas, Agata Twardoch, Marta Udoh, Ogi Ugonoh, Jolanta Woch, Katarzyna Wojtczak, Jan Eustachy Wolski, Alicja Wysocka, Weronika Zalewska, Aleksandra Kardach-Zbroja, Agata Diduszko-Zyglewska, Jan Zygmuntowski, Artur Żmijewski, Paweł Żukowski</w:t>
      </w:r>
    </w:p>
    <w:p w:rsidR="00DD6ACD" w:rsidRDefault="00DD6ACD" w:rsidP="00DD6ACD">
      <w:pPr>
        <w:shd w:val="clear" w:color="auto" w:fill="FFFFFF"/>
        <w:spacing w:line="300" w:lineRule="atLeast"/>
        <w:jc w:val="both"/>
        <w:textAlignment w:val="baseline"/>
        <w:outlineLvl w:val="2"/>
        <w:rPr>
          <w:rFonts w:ascii="Theinhardt Light" w:eastAsia="Times New Roman" w:hAnsi="Theinhardt Light" w:cs="Helvetica"/>
          <w:color w:val="000000"/>
          <w:lang w:eastAsia="pl-PL"/>
        </w:rPr>
      </w:pPr>
    </w:p>
    <w:p w:rsidR="00DD6ACD" w:rsidRPr="00DD6ACD" w:rsidRDefault="00DD6ACD" w:rsidP="00DD6ACD">
      <w:pPr>
        <w:shd w:val="clear" w:color="auto" w:fill="FFFFFF"/>
        <w:spacing w:line="300" w:lineRule="atLeast"/>
        <w:jc w:val="both"/>
        <w:textAlignment w:val="baseline"/>
        <w:outlineLvl w:val="2"/>
        <w:rPr>
          <w:rFonts w:ascii="Theinhardt Light" w:eastAsia="Times New Roman" w:hAnsi="Theinhardt Light" w:cs="Helvetica"/>
          <w:b/>
          <w:color w:val="000000"/>
          <w:lang w:eastAsia="pl-PL"/>
        </w:rPr>
      </w:pPr>
      <w:r w:rsidRPr="00DD6ACD">
        <w:rPr>
          <w:rFonts w:ascii="Theinhardt Light" w:eastAsia="Times New Roman" w:hAnsi="Theinhardt Light" w:cs="Helvetica"/>
          <w:b/>
          <w:color w:val="000000"/>
          <w:lang w:eastAsia="pl-PL"/>
        </w:rPr>
        <w:t>Nad programem wydarzeń towarzyszących pracowało siedem grup roboczych:</w:t>
      </w:r>
    </w:p>
    <w:p w:rsidR="00DD6ACD" w:rsidRPr="00DD6ACD" w:rsidRDefault="00DD6ACD" w:rsidP="00DD6ACD">
      <w:pPr>
        <w:shd w:val="clear" w:color="auto" w:fill="FFFFFF"/>
        <w:jc w:val="both"/>
        <w:textAlignment w:val="baseline"/>
        <w:rPr>
          <w:rFonts w:ascii="Theinhardt Light" w:eastAsia="Times New Roman" w:hAnsi="Theinhardt Light" w:cs="Helvetica"/>
          <w:color w:val="000000"/>
          <w:lang w:eastAsia="pl-PL"/>
        </w:rPr>
      </w:pPr>
      <w:r w:rsidRPr="00DD6ACD">
        <w:rPr>
          <w:rFonts w:ascii="Theinhardt Light" w:eastAsia="Times New Roman" w:hAnsi="Theinhardt Light" w:cs="Helvetica"/>
          <w:color w:val="000000"/>
          <w:lang w:eastAsia="pl-PL"/>
        </w:rPr>
        <w:t>Misja instytucji, Blyzkist, Mieszkać razem, Przyszłość danych, Czarne jest polskie, Językowa, Samorządowa. </w:t>
      </w:r>
    </w:p>
    <w:p w:rsidR="00DD6ACD" w:rsidRDefault="00DD6ACD" w:rsidP="00DD6ACD">
      <w:pPr>
        <w:shd w:val="clear" w:color="auto" w:fill="FFFFFF"/>
        <w:jc w:val="both"/>
        <w:textAlignment w:val="baseline"/>
        <w:rPr>
          <w:rFonts w:ascii="Theinhardt Light" w:eastAsia="Times New Roman" w:hAnsi="Theinhardt Light" w:cs="Helvetica"/>
          <w:color w:val="000000"/>
          <w:lang w:eastAsia="pl-PL"/>
        </w:rPr>
      </w:pPr>
    </w:p>
    <w:p w:rsidR="00DD6ACD" w:rsidRPr="00DD6ACD" w:rsidRDefault="00DD6ACD" w:rsidP="00DD6ACD">
      <w:pPr>
        <w:shd w:val="clear" w:color="auto" w:fill="FFFFFF"/>
        <w:jc w:val="both"/>
        <w:textAlignment w:val="baseline"/>
        <w:rPr>
          <w:rFonts w:ascii="Theinhardt Light" w:eastAsia="Times New Roman" w:hAnsi="Theinhardt Light" w:cs="Helvetica"/>
          <w:color w:val="000000"/>
          <w:lang w:eastAsia="pl-PL"/>
        </w:rPr>
      </w:pPr>
      <w:r w:rsidRPr="00DD6ACD">
        <w:rPr>
          <w:rFonts w:ascii="Theinhardt Light" w:eastAsia="Times New Roman" w:hAnsi="Theinhardt Light" w:cs="Helvetica"/>
          <w:color w:val="000000"/>
          <w:lang w:eastAsia="pl-PL"/>
        </w:rPr>
        <w:t>Program wydarzeń towarzyszących realizowany będzie w dwóch trybach: stacjonarnym oraz online.</w:t>
      </w:r>
    </w:p>
    <w:p w:rsidR="00C77CC3" w:rsidRPr="00DD6ACD" w:rsidRDefault="00C77CC3" w:rsidP="00DD6ACD">
      <w:pPr>
        <w:jc w:val="both"/>
        <w:rPr>
          <w:rFonts w:ascii="Theinhardt Light" w:hAnsi="Theinhardt Light" w:cs="Times New Roman"/>
        </w:rPr>
      </w:pPr>
    </w:p>
    <w:p w:rsidR="00C77CC3" w:rsidRPr="003E27A7" w:rsidRDefault="00C77CC3" w:rsidP="00C77CC3">
      <w:pPr>
        <w:rPr>
          <w:rFonts w:ascii="Theinhardt Light" w:hAnsi="Theinhardt Light" w:cs="Times New Roman"/>
        </w:rPr>
      </w:pPr>
      <w:r w:rsidRPr="003E27A7">
        <w:rPr>
          <w:rFonts w:ascii="Theinhardt Light" w:hAnsi="Theinhardt Light" w:cs="Times New Roman"/>
        </w:rPr>
        <w:t>Otwarcie wysta</w:t>
      </w:r>
      <w:r w:rsidR="008D329F">
        <w:rPr>
          <w:rFonts w:ascii="Theinhardt Light" w:hAnsi="Theinhardt Light" w:cs="Times New Roman"/>
        </w:rPr>
        <w:t>wy festiwalowej „Coś wspólnego”: 2 października 2020</w:t>
      </w:r>
    </w:p>
    <w:p w:rsidR="00C77CC3" w:rsidRPr="003E27A7" w:rsidRDefault="008D329F" w:rsidP="00C77CC3">
      <w:pPr>
        <w:rPr>
          <w:rFonts w:ascii="Theinhardt Light" w:hAnsi="Theinhardt Light" w:cs="Times New Roman"/>
        </w:rPr>
      </w:pPr>
      <w:r>
        <w:rPr>
          <w:rFonts w:ascii="Theinhardt Light" w:hAnsi="Theinhardt Light" w:cs="Times New Roman"/>
        </w:rPr>
        <w:t>Muzeum Sztuki Nowoczesnej w Warszawie</w:t>
      </w:r>
      <w:r w:rsidR="00C77CC3" w:rsidRPr="003E27A7">
        <w:rPr>
          <w:rFonts w:ascii="Theinhardt Light" w:hAnsi="Theinhardt Light" w:cs="Times New Roman"/>
        </w:rPr>
        <w:t>, Wybrzeże Kościuszkowskie 22, Warszaw</w:t>
      </w:r>
      <w:r>
        <w:rPr>
          <w:rFonts w:ascii="Theinhardt Light" w:hAnsi="Theinhardt Light" w:cs="Times New Roman"/>
        </w:rPr>
        <w:t>a</w:t>
      </w:r>
    </w:p>
    <w:p w:rsidR="00C77CC3" w:rsidRPr="003E27A7" w:rsidRDefault="00C77CC3" w:rsidP="00C77CC3">
      <w:pPr>
        <w:rPr>
          <w:rFonts w:ascii="Theinhardt Light" w:hAnsi="Theinhardt Light" w:cs="Times New Roman"/>
        </w:rPr>
      </w:pPr>
    </w:p>
    <w:p w:rsidR="00491C68" w:rsidRDefault="00C77CC3" w:rsidP="00C77CC3">
      <w:pPr>
        <w:rPr>
          <w:rFonts w:ascii="Theinhardt Light" w:hAnsi="Theinhardt Light" w:cs="Times New Roman"/>
        </w:rPr>
      </w:pPr>
      <w:r w:rsidRPr="003E27A7">
        <w:rPr>
          <w:rFonts w:ascii="Theinhardt Light" w:hAnsi="Theinhardt Light" w:cs="Times New Roman"/>
        </w:rPr>
        <w:t>Kontakt dla mediów:</w:t>
      </w:r>
    </w:p>
    <w:p w:rsidR="00C77CC3" w:rsidRPr="003E27A7" w:rsidRDefault="00491C68" w:rsidP="00C77CC3">
      <w:pPr>
        <w:rPr>
          <w:rFonts w:ascii="Theinhardt Light" w:hAnsi="Theinhardt Light" w:cs="Times New Roman"/>
        </w:rPr>
      </w:pPr>
      <w:r>
        <w:rPr>
          <w:rFonts w:ascii="Theinhardt Light" w:hAnsi="Theinhardt Light" w:cs="Times New Roman"/>
        </w:rPr>
        <w:t>Marta Bartkowska |</w:t>
      </w:r>
      <w:r w:rsidR="00C77CC3" w:rsidRPr="003E27A7">
        <w:rPr>
          <w:rFonts w:ascii="Theinhardt Light" w:hAnsi="Theinhardt Light" w:cs="Times New Roman"/>
        </w:rPr>
        <w:t xml:space="preserve"> </w:t>
      </w:r>
      <w:hyperlink r:id="rId7" w:history="1">
        <w:r w:rsidRPr="00A94D79">
          <w:rPr>
            <w:rStyle w:val="Hipercze"/>
            <w:rFonts w:ascii="Theinhardt Light" w:hAnsi="Theinhardt Light" w:cs="Times New Roman"/>
          </w:rPr>
          <w:t>prasa@artmuseum.pl</w:t>
        </w:r>
      </w:hyperlink>
      <w:r>
        <w:rPr>
          <w:rFonts w:ascii="Theinhardt Light" w:hAnsi="Theinhardt Light" w:cs="Times New Roman"/>
        </w:rPr>
        <w:t xml:space="preserve"> | 501 275 126</w:t>
      </w:r>
    </w:p>
    <w:p w:rsidR="00C77CC3" w:rsidRDefault="00C77CC3" w:rsidP="00C77CC3">
      <w:pPr>
        <w:rPr>
          <w:rFonts w:ascii="Theinhardt Light" w:hAnsi="Theinhardt Light" w:cs="Times New Roman"/>
        </w:rPr>
      </w:pPr>
      <w:r w:rsidRPr="003E27A7">
        <w:rPr>
          <w:rFonts w:ascii="Theinhardt Light" w:hAnsi="Theinhardt Light" w:cs="Times New Roman"/>
        </w:rPr>
        <w:t xml:space="preserve">Materiały prasowe: </w:t>
      </w:r>
      <w:hyperlink r:id="rId8" w:history="1">
        <w:r w:rsidRPr="003512CE">
          <w:rPr>
            <w:rStyle w:val="Hipercze"/>
            <w:rFonts w:ascii="Theinhardt Light" w:hAnsi="Theinhardt Light" w:cs="Times New Roman"/>
          </w:rPr>
          <w:t xml:space="preserve">prasa.artmuseum.pl </w:t>
        </w:r>
      </w:hyperlink>
      <w:r w:rsidRPr="003E27A7">
        <w:rPr>
          <w:rFonts w:ascii="Theinhardt Light" w:hAnsi="Theinhardt Light" w:cs="Times New Roman"/>
        </w:rPr>
        <w:t xml:space="preserve"> </w:t>
      </w:r>
    </w:p>
    <w:p w:rsidR="00074344" w:rsidRDefault="007838F2" w:rsidP="00C77CC3">
      <w:pPr>
        <w:rPr>
          <w:rFonts w:ascii="Theinhardt Light" w:hAnsi="Theinhardt Light" w:cs="Times New Roman"/>
        </w:rPr>
      </w:pPr>
      <w:r>
        <w:rPr>
          <w:rFonts w:ascii="Theinhardt Light" w:hAnsi="Theinhardt Light" w:cs="Times New Roman"/>
        </w:rPr>
        <w:t xml:space="preserve">Strona internetowa: </w:t>
      </w:r>
      <w:hyperlink r:id="rId9" w:history="1">
        <w:r w:rsidRPr="00412132">
          <w:rPr>
            <w:rStyle w:val="Hipercze"/>
            <w:rFonts w:ascii="Theinhardt Light" w:hAnsi="Theinhardt Light" w:cs="Times New Roman"/>
          </w:rPr>
          <w:t>artmuseum.pl</w:t>
        </w:r>
      </w:hyperlink>
      <w:r>
        <w:rPr>
          <w:rFonts w:ascii="Theinhardt Light" w:hAnsi="Theinhardt Light" w:cs="Times New Roman"/>
        </w:rPr>
        <w:t xml:space="preserve"> oraz </w:t>
      </w:r>
      <w:hyperlink r:id="rId10" w:history="1">
        <w:r w:rsidRPr="00412132">
          <w:rPr>
            <w:rStyle w:val="Hipercze"/>
            <w:rFonts w:ascii="Theinhardt Light" w:hAnsi="Theinhardt Light" w:cs="Times New Roman"/>
          </w:rPr>
          <w:t>warszawawbudowie.pl</w:t>
        </w:r>
      </w:hyperlink>
      <w:r>
        <w:rPr>
          <w:rFonts w:ascii="Theinhardt Light" w:hAnsi="Theinhardt Light" w:cs="Times New Roman"/>
        </w:rPr>
        <w:t xml:space="preserve"> </w:t>
      </w:r>
    </w:p>
    <w:p w:rsidR="00074344" w:rsidRDefault="00074344" w:rsidP="00C77CC3">
      <w:pPr>
        <w:rPr>
          <w:rFonts w:ascii="Theinhardt Light" w:hAnsi="Theinhardt Light" w:cs="Times New Roman"/>
        </w:rPr>
      </w:pPr>
    </w:p>
    <w:p w:rsidR="00293B15" w:rsidRDefault="00293B15" w:rsidP="00C77CC3">
      <w:pPr>
        <w:rPr>
          <w:rFonts w:ascii="Theinhardt Light" w:hAnsi="Theinhardt Light" w:cs="Times New Roman"/>
        </w:rPr>
      </w:pPr>
    </w:p>
    <w:p w:rsidR="00293B15" w:rsidRDefault="00293B15" w:rsidP="00C77CC3">
      <w:pPr>
        <w:rPr>
          <w:rFonts w:ascii="Theinhardt Light" w:hAnsi="Theinhardt Light" w:cs="Times New Roman"/>
        </w:rPr>
      </w:pPr>
    </w:p>
    <w:p w:rsidR="00293B15" w:rsidRDefault="00293B15" w:rsidP="00C77CC3">
      <w:pPr>
        <w:rPr>
          <w:rFonts w:ascii="Theinhardt Light" w:hAnsi="Theinhardt Light" w:cs="Times New Roman"/>
        </w:rPr>
      </w:pPr>
    </w:p>
    <w:p w:rsidR="00074344" w:rsidRDefault="00302BC5" w:rsidP="00C77CC3">
      <w:pPr>
        <w:rPr>
          <w:rFonts w:ascii="Theinhardt Light" w:hAnsi="Theinhardt Light" w:cs="Times New Roman"/>
        </w:rPr>
      </w:pPr>
      <w:r>
        <w:rPr>
          <w:rFonts w:ascii="Theinhardt Light" w:hAnsi="Theinhardt Light" w:cs="Times New Roman"/>
        </w:rPr>
        <w:lastRenderedPageBreak/>
        <w:t xml:space="preserve">Projekt finansuje </w:t>
      </w:r>
      <w:r w:rsidR="00074344">
        <w:rPr>
          <w:rFonts w:ascii="Theinhardt Light" w:hAnsi="Theinhardt Light" w:cs="Times New Roman"/>
        </w:rPr>
        <w:t xml:space="preserve">m.st. Warszawa </w:t>
      </w:r>
    </w:p>
    <w:p w:rsidR="005E797D" w:rsidRDefault="004A1A7C" w:rsidP="00C77CC3">
      <w:pPr>
        <w:rPr>
          <w:rFonts w:ascii="Theinhardt Light" w:hAnsi="Theinhardt Light" w:cs="Times New Roman"/>
        </w:rPr>
      </w:pPr>
      <w:r>
        <w:rPr>
          <w:rFonts w:ascii="Theinhardt Light" w:hAnsi="Theinhardt Light" w:cs="Times New Roman"/>
        </w:rPr>
        <w:pict>
          <v:shape id="_x0000_i1026" type="#_x0000_t75" style="width:96pt;height:96pt">
            <v:imagedata r:id="rId11" o:title="znak_czarny-01"/>
          </v:shape>
        </w:pict>
      </w:r>
    </w:p>
    <w:p w:rsidR="00293B15" w:rsidRDefault="00293B15" w:rsidP="00C77CC3">
      <w:pPr>
        <w:rPr>
          <w:rFonts w:ascii="Theinhardt Light" w:hAnsi="Theinhardt Light" w:cs="Helvetica"/>
          <w:color w:val="000000"/>
          <w:shd w:val="clear" w:color="auto" w:fill="FFFFFF"/>
        </w:rPr>
      </w:pPr>
      <w:r w:rsidRPr="00293B15">
        <w:rPr>
          <w:rFonts w:ascii="Theinhardt Light" w:hAnsi="Theinhardt Light" w:cs="Helvetica"/>
          <w:color w:val="000000"/>
          <w:shd w:val="clear" w:color="auto" w:fill="FFFFFF"/>
        </w:rPr>
        <w:t>Działalność Muzeum i wybrane projekty finansuje:</w:t>
      </w:r>
    </w:p>
    <w:p w:rsidR="003512CE" w:rsidRDefault="00293B15" w:rsidP="00C77CC3">
      <w:pPr>
        <w:rPr>
          <w:rFonts w:ascii="Theinhardt Light" w:hAnsi="Theinhardt Light" w:cs="Helvetica"/>
          <w:color w:val="000000"/>
          <w:shd w:val="clear" w:color="auto" w:fill="FFFFFF"/>
        </w:rPr>
      </w:pPr>
      <w:r>
        <w:rPr>
          <w:rFonts w:ascii="Theinhardt Light" w:hAnsi="Theinhardt Light" w:cs="Helvetica"/>
          <w:color w:val="000000"/>
          <w:shd w:val="clear" w:color="auto" w:fill="FFFFFF"/>
        </w:rPr>
        <w:t xml:space="preserve"> </w:t>
      </w:r>
    </w:p>
    <w:p w:rsidR="00293B15" w:rsidRDefault="00293B15" w:rsidP="00C77CC3">
      <w:pPr>
        <w:rPr>
          <w:rFonts w:ascii="Theinhardt Light" w:hAnsi="Theinhardt Light" w:cs="Helvetica"/>
          <w:color w:val="000000"/>
          <w:shd w:val="clear" w:color="auto" w:fill="FFFFFF"/>
        </w:rPr>
      </w:pPr>
      <w:r>
        <w:rPr>
          <w:rFonts w:ascii="Theinhardt Light" w:hAnsi="Theinhardt Light" w:cs="Helvetica"/>
          <w:color w:val="000000"/>
          <w:shd w:val="clear" w:color="auto" w:fill="FFFFFF"/>
        </w:rPr>
        <w:t xml:space="preserve">    </w:t>
      </w:r>
      <w:r w:rsidR="00D4747C" w:rsidRPr="00D4747C">
        <w:rPr>
          <w:rFonts w:ascii="Theinhardt Light" w:hAnsi="Theinhardt Light" w:cs="Helvetica"/>
          <w:noProof/>
          <w:color w:val="000000"/>
          <w:shd w:val="clear" w:color="auto" w:fill="FFFFFF"/>
          <w:lang w:eastAsia="pl-PL"/>
        </w:rPr>
        <w:drawing>
          <wp:inline distT="0" distB="0" distL="0" distR="0" wp14:anchorId="6835634D" wp14:editId="2D8D2EC6">
            <wp:extent cx="1194661" cy="704850"/>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3080" cy="709817"/>
                    </a:xfrm>
                    <a:prstGeom prst="rect">
                      <a:avLst/>
                    </a:prstGeom>
                  </pic:spPr>
                </pic:pic>
              </a:graphicData>
            </a:graphic>
          </wp:inline>
        </w:drawing>
      </w:r>
    </w:p>
    <w:p w:rsidR="00D4747C" w:rsidRDefault="00D4747C" w:rsidP="00C77CC3">
      <w:pPr>
        <w:rPr>
          <w:rFonts w:ascii="Theinhardt Light" w:hAnsi="Theinhardt Light" w:cs="Helvetica"/>
          <w:color w:val="000000"/>
          <w:shd w:val="clear" w:color="auto" w:fill="FFFFFF"/>
        </w:rPr>
      </w:pPr>
    </w:p>
    <w:p w:rsidR="00D4747C" w:rsidRDefault="00D4747C" w:rsidP="00C77CC3">
      <w:pPr>
        <w:rPr>
          <w:rFonts w:ascii="Theinhardt Light" w:hAnsi="Theinhardt Light" w:cs="Helvetica"/>
          <w:color w:val="000000"/>
          <w:shd w:val="clear" w:color="auto" w:fill="FFFFFF"/>
        </w:rPr>
      </w:pPr>
      <w:r>
        <w:rPr>
          <w:rFonts w:ascii="Theinhardt Light" w:hAnsi="Theinhardt Light" w:cs="Helvetica"/>
          <w:color w:val="000000"/>
          <w:shd w:val="clear" w:color="auto" w:fill="FFFFFF"/>
        </w:rPr>
        <w:t>Partnerzy wystawy:</w:t>
      </w:r>
    </w:p>
    <w:p w:rsidR="00D4747C" w:rsidRDefault="00D4747C" w:rsidP="00C77CC3">
      <w:pPr>
        <w:rPr>
          <w:rFonts w:ascii="Theinhardt Light" w:hAnsi="Theinhardt Light" w:cs="Helvetica"/>
          <w:color w:val="000000"/>
          <w:shd w:val="clear" w:color="auto" w:fill="FFFFFF"/>
        </w:rPr>
      </w:pPr>
    </w:p>
    <w:p w:rsidR="00DD6ACD" w:rsidRDefault="00DD6ACD" w:rsidP="00C77CC3">
      <w:pPr>
        <w:rPr>
          <w:rFonts w:ascii="Theinhardt Light" w:hAnsi="Theinhardt Light" w:cs="Times New Roman"/>
        </w:rPr>
      </w:pPr>
      <w:r w:rsidRPr="00DD6ACD">
        <w:rPr>
          <w:rFonts w:ascii="Theinhardt Light" w:hAnsi="Theinhardt Light" w:cs="Times New Roman"/>
          <w:noProof/>
          <w:lang w:eastAsia="pl-PL"/>
        </w:rPr>
        <w:drawing>
          <wp:inline distT="0" distB="0" distL="0" distR="0" wp14:anchorId="5A052757" wp14:editId="48827964">
            <wp:extent cx="4762500" cy="583764"/>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78909" cy="598033"/>
                    </a:xfrm>
                    <a:prstGeom prst="rect">
                      <a:avLst/>
                    </a:prstGeom>
                  </pic:spPr>
                </pic:pic>
              </a:graphicData>
            </a:graphic>
          </wp:inline>
        </w:drawing>
      </w:r>
    </w:p>
    <w:p w:rsidR="00D4747C" w:rsidRDefault="00D4747C" w:rsidP="00C77CC3">
      <w:pPr>
        <w:rPr>
          <w:rFonts w:ascii="Theinhardt Light" w:hAnsi="Theinhardt Light" w:cs="Times New Roman"/>
        </w:rPr>
      </w:pPr>
      <w:r>
        <w:rPr>
          <w:rFonts w:ascii="Theinhardt Light" w:hAnsi="Theinhardt Light" w:cs="Times New Roman"/>
        </w:rPr>
        <w:t>Mecenas Muzeum i Kolekcji:</w:t>
      </w:r>
    </w:p>
    <w:p w:rsidR="00D4747C" w:rsidRDefault="00D4747C" w:rsidP="00C77CC3">
      <w:pPr>
        <w:rPr>
          <w:rFonts w:ascii="Theinhardt Light" w:hAnsi="Theinhardt Light" w:cs="Times New Roman"/>
        </w:rPr>
      </w:pPr>
    </w:p>
    <w:p w:rsidR="00D4747C" w:rsidRDefault="00D4747C" w:rsidP="00C77CC3">
      <w:pPr>
        <w:rPr>
          <w:rFonts w:ascii="Theinhardt Light" w:hAnsi="Theinhardt Light" w:cs="Times New Roman"/>
        </w:rPr>
      </w:pPr>
      <w:r w:rsidRPr="00D4747C">
        <w:rPr>
          <w:rFonts w:ascii="Theinhardt Light" w:hAnsi="Theinhardt Light" w:cs="Times New Roman"/>
          <w:noProof/>
          <w:lang w:eastAsia="pl-PL"/>
        </w:rPr>
        <w:drawing>
          <wp:inline distT="0" distB="0" distL="0" distR="0" wp14:anchorId="7C876115" wp14:editId="68D7B091">
            <wp:extent cx="1724266" cy="781159"/>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24266" cy="781159"/>
                    </a:xfrm>
                    <a:prstGeom prst="rect">
                      <a:avLst/>
                    </a:prstGeom>
                  </pic:spPr>
                </pic:pic>
              </a:graphicData>
            </a:graphic>
          </wp:inline>
        </w:drawing>
      </w:r>
    </w:p>
    <w:p w:rsidR="008C5B33" w:rsidRDefault="008C5B33" w:rsidP="00C77CC3">
      <w:pPr>
        <w:rPr>
          <w:rFonts w:ascii="Theinhardt Light" w:hAnsi="Theinhardt Light" w:cs="Times New Roman"/>
        </w:rPr>
      </w:pPr>
    </w:p>
    <w:p w:rsidR="00D4747C" w:rsidRDefault="008C5B33" w:rsidP="00C77CC3">
      <w:pPr>
        <w:rPr>
          <w:rFonts w:ascii="Theinhardt Light" w:hAnsi="Theinhardt Light" w:cs="Times New Roman"/>
        </w:rPr>
      </w:pPr>
      <w:r>
        <w:rPr>
          <w:rFonts w:ascii="Theinhardt Light" w:hAnsi="Theinhardt Light" w:cs="Times New Roman"/>
        </w:rPr>
        <w:t>Partner Strategiczny Muzeum:</w:t>
      </w:r>
    </w:p>
    <w:p w:rsidR="008C5B33" w:rsidRDefault="008C5B33" w:rsidP="00C77CC3">
      <w:pPr>
        <w:rPr>
          <w:rFonts w:ascii="Theinhardt Light" w:hAnsi="Theinhardt Light" w:cs="Times New Roman"/>
        </w:rPr>
      </w:pPr>
    </w:p>
    <w:p w:rsidR="008C5B33" w:rsidRDefault="008C5B33" w:rsidP="00C77CC3">
      <w:pPr>
        <w:rPr>
          <w:rFonts w:ascii="Theinhardt Light" w:hAnsi="Theinhardt Light" w:cs="Times New Roman"/>
        </w:rPr>
      </w:pPr>
      <w:r w:rsidRPr="008C5B33">
        <w:rPr>
          <w:rFonts w:ascii="Theinhardt Light" w:hAnsi="Theinhardt Light" w:cs="Times New Roman"/>
          <w:noProof/>
          <w:lang w:eastAsia="pl-PL"/>
        </w:rPr>
        <w:drawing>
          <wp:inline distT="0" distB="0" distL="0" distR="0" wp14:anchorId="3476302E" wp14:editId="6A90EF1B">
            <wp:extent cx="1365885" cy="738781"/>
            <wp:effectExtent l="0" t="0" r="5715"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70028" cy="741022"/>
                    </a:xfrm>
                    <a:prstGeom prst="rect">
                      <a:avLst/>
                    </a:prstGeom>
                  </pic:spPr>
                </pic:pic>
              </a:graphicData>
            </a:graphic>
          </wp:inline>
        </w:drawing>
      </w:r>
      <w:r w:rsidR="004A1A7C">
        <w:rPr>
          <w:rFonts w:ascii="Theinhardt Light" w:hAnsi="Theinhardt Light" w:cs="Times New Roman"/>
        </w:rPr>
        <w:pict>
          <v:shape id="_x0000_i1027" type="#_x0000_t75" style="width:87.75pt;height:65.25pt">
            <v:imagedata r:id="rId16" o:title="samo A"/>
          </v:shape>
        </w:pict>
      </w:r>
    </w:p>
    <w:p w:rsidR="008C5B33" w:rsidRDefault="008C5B33" w:rsidP="00C77CC3">
      <w:pPr>
        <w:rPr>
          <w:rFonts w:ascii="Theinhardt Light" w:hAnsi="Theinhardt Light" w:cs="Times New Roman"/>
        </w:rPr>
      </w:pPr>
    </w:p>
    <w:p w:rsidR="008C5B33" w:rsidRDefault="008C5B33" w:rsidP="00C77CC3">
      <w:pPr>
        <w:rPr>
          <w:rFonts w:ascii="Theinhardt Light" w:hAnsi="Theinhardt Light" w:cs="Times New Roman"/>
        </w:rPr>
      </w:pPr>
      <w:r>
        <w:rPr>
          <w:rFonts w:ascii="Theinhardt Light" w:hAnsi="Theinhardt Light" w:cs="Times New Roman"/>
        </w:rPr>
        <w:t>Partnerzy medialni:</w:t>
      </w:r>
    </w:p>
    <w:p w:rsidR="008C5B33" w:rsidRDefault="008C5B33" w:rsidP="00C77CC3">
      <w:pPr>
        <w:rPr>
          <w:rFonts w:ascii="Theinhardt Light" w:hAnsi="Theinhardt Light" w:cs="Times New Roman"/>
        </w:rPr>
      </w:pPr>
    </w:p>
    <w:p w:rsidR="008C5B33" w:rsidRDefault="00FD080C" w:rsidP="00C77CC3">
      <w:pPr>
        <w:rPr>
          <w:rFonts w:ascii="Theinhardt Light" w:hAnsi="Theinhardt Light" w:cs="Times New Roman"/>
        </w:rPr>
      </w:pPr>
      <w:r w:rsidRPr="00FD080C">
        <w:rPr>
          <w:rFonts w:ascii="Theinhardt Light" w:hAnsi="Theinhardt Light" w:cs="Times New Roman"/>
          <w:noProof/>
          <w:lang w:eastAsia="pl-PL"/>
        </w:rPr>
        <w:drawing>
          <wp:inline distT="0" distB="0" distL="0" distR="0" wp14:anchorId="73A01D98" wp14:editId="740F4FEF">
            <wp:extent cx="6389877" cy="6191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4035" cy="620497"/>
                    </a:xfrm>
                    <a:prstGeom prst="rect">
                      <a:avLst/>
                    </a:prstGeom>
                  </pic:spPr>
                </pic:pic>
              </a:graphicData>
            </a:graphic>
          </wp:inline>
        </w:drawing>
      </w:r>
    </w:p>
    <w:p w:rsidR="00BC7595" w:rsidRPr="003E27A7" w:rsidRDefault="00BC7595">
      <w:pPr>
        <w:rPr>
          <w:rFonts w:ascii="Theinhardt Light" w:hAnsi="Theinhardt Light"/>
        </w:rPr>
      </w:pPr>
    </w:p>
    <w:sectPr w:rsidR="00BC7595" w:rsidRPr="003E27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BA5" w:rsidRDefault="00F72BA5" w:rsidP="00DD6ACD">
      <w:r>
        <w:separator/>
      </w:r>
    </w:p>
  </w:endnote>
  <w:endnote w:type="continuationSeparator" w:id="0">
    <w:p w:rsidR="00F72BA5" w:rsidRDefault="00F72BA5" w:rsidP="00DD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Arial">
    <w:panose1 w:val="020B0604020202020204"/>
    <w:charset w:val="EE"/>
    <w:family w:val="swiss"/>
    <w:pitch w:val="variable"/>
    <w:sig w:usb0="E0002EFF" w:usb1="C000785B" w:usb2="00000009" w:usb3="00000000" w:csb0="000001FF" w:csb1="00000000"/>
  </w:font>
  <w:font w:name="Helvetica">
    <w:panose1 w:val="020B060402020203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BA5" w:rsidRDefault="00F72BA5" w:rsidP="00DD6ACD">
      <w:r>
        <w:separator/>
      </w:r>
    </w:p>
  </w:footnote>
  <w:footnote w:type="continuationSeparator" w:id="0">
    <w:p w:rsidR="00F72BA5" w:rsidRDefault="00F72BA5" w:rsidP="00DD6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C3"/>
    <w:rsid w:val="00073863"/>
    <w:rsid w:val="00074344"/>
    <w:rsid w:val="001648EB"/>
    <w:rsid w:val="00293B15"/>
    <w:rsid w:val="00302BC5"/>
    <w:rsid w:val="003512CE"/>
    <w:rsid w:val="003E27A7"/>
    <w:rsid w:val="00412132"/>
    <w:rsid w:val="00491C68"/>
    <w:rsid w:val="004A1A7C"/>
    <w:rsid w:val="005E61E5"/>
    <w:rsid w:val="005E797D"/>
    <w:rsid w:val="007838F2"/>
    <w:rsid w:val="007A186F"/>
    <w:rsid w:val="008C5B33"/>
    <w:rsid w:val="008D329F"/>
    <w:rsid w:val="0096175A"/>
    <w:rsid w:val="009863F1"/>
    <w:rsid w:val="00BC7595"/>
    <w:rsid w:val="00C77CC3"/>
    <w:rsid w:val="00D4747C"/>
    <w:rsid w:val="00DD6ACD"/>
    <w:rsid w:val="00ED3898"/>
    <w:rsid w:val="00F72BA5"/>
    <w:rsid w:val="00FD0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2D83A-103C-4789-B66D-C7107CE5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CC3"/>
    <w:pPr>
      <w:spacing w:after="0" w:line="240" w:lineRule="auto"/>
    </w:pPr>
    <w:rPr>
      <w:sz w:val="24"/>
      <w:szCs w:val="24"/>
    </w:rPr>
  </w:style>
  <w:style w:type="paragraph" w:styleId="Nagwek3">
    <w:name w:val="heading 3"/>
    <w:basedOn w:val="Normalny"/>
    <w:link w:val="Nagwek3Znak"/>
    <w:uiPriority w:val="9"/>
    <w:qFormat/>
    <w:rsid w:val="00DD6ACD"/>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77CC3"/>
    <w:rPr>
      <w:color w:val="0563C1" w:themeColor="hyperlink"/>
      <w:u w:val="single"/>
    </w:rPr>
  </w:style>
  <w:style w:type="table" w:styleId="Tabela-Siatka">
    <w:name w:val="Table Grid"/>
    <w:basedOn w:val="Standardowy"/>
    <w:uiPriority w:val="39"/>
    <w:rsid w:val="003E2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D6AC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D6ACD"/>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97536">
      <w:bodyDiv w:val="1"/>
      <w:marLeft w:val="0"/>
      <w:marRight w:val="0"/>
      <w:marTop w:val="0"/>
      <w:marBottom w:val="0"/>
      <w:divBdr>
        <w:top w:val="none" w:sz="0" w:space="0" w:color="auto"/>
        <w:left w:val="none" w:sz="0" w:space="0" w:color="auto"/>
        <w:bottom w:val="none" w:sz="0" w:space="0" w:color="auto"/>
        <w:right w:val="none" w:sz="0" w:space="0" w:color="auto"/>
      </w:divBdr>
    </w:div>
    <w:div w:id="11974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sa.artmuseum.pl/?l=0"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asa@artmuseum.pl"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s://wwb11.artmuseum.pl/p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artmuseum.pl/pl" TargetMode="External"/><Relationship Id="rId1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7004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Winczakiewicz</dc:creator>
  <cp:keywords/>
  <dc:description/>
  <cp:lastModifiedBy>Iga Winczakiewicz</cp:lastModifiedBy>
  <cp:revision>2</cp:revision>
  <dcterms:created xsi:type="dcterms:W3CDTF">2020-10-09T12:14:00Z</dcterms:created>
  <dcterms:modified xsi:type="dcterms:W3CDTF">2020-10-09T12:14:00Z</dcterms:modified>
</cp:coreProperties>
</file>