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27A7" w:rsidRPr="003E27A7" w:rsidTr="003E27A7">
        <w:trPr>
          <w:trHeight w:val="2126"/>
        </w:trPr>
        <w:tc>
          <w:tcPr>
            <w:tcW w:w="4531" w:type="dxa"/>
          </w:tcPr>
          <w:p w:rsidR="003E27A7" w:rsidRPr="003E27A7" w:rsidRDefault="00EB7A9A" w:rsidP="00C77CC3">
            <w:pPr>
              <w:rPr>
                <w:rFonts w:ascii="Theinhardt Light" w:hAnsi="Theinhardt Light"/>
              </w:rPr>
            </w:pPr>
            <w:r>
              <w:rPr>
                <w:rFonts w:ascii="Theinhardt Light" w:hAnsi="Theinhard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78.5pt">
                  <v:imagedata r:id="rId6" o:title="logo_Muzeum_PL_wysokie_M_HQ"/>
                </v:shape>
              </w:pict>
            </w:r>
          </w:p>
        </w:tc>
        <w:tc>
          <w:tcPr>
            <w:tcW w:w="4531" w:type="dxa"/>
          </w:tcPr>
          <w:p w:rsidR="003E27A7" w:rsidRPr="003E27A7" w:rsidRDefault="003E27A7" w:rsidP="003E27A7">
            <w:pPr>
              <w:jc w:val="right"/>
              <w:rPr>
                <w:rFonts w:ascii="Theinhardt Light" w:hAnsi="Theinhardt Light"/>
              </w:rPr>
            </w:pPr>
            <w:r w:rsidRPr="003E27A7">
              <w:rPr>
                <w:rFonts w:ascii="Theinhardt Light" w:hAnsi="Theinhardt Light"/>
              </w:rPr>
              <w:t>INFORMACJA PRASOWA</w:t>
            </w:r>
          </w:p>
          <w:p w:rsidR="003E27A7" w:rsidRDefault="003E27A7" w:rsidP="003E27A7">
            <w:pPr>
              <w:rPr>
                <w:rFonts w:ascii="Theinhardt Light" w:hAnsi="Theinhardt Light"/>
              </w:rPr>
            </w:pPr>
          </w:p>
          <w:p w:rsidR="003E27A7" w:rsidRPr="003E27A7" w:rsidRDefault="003E27A7" w:rsidP="003E27A7">
            <w:pPr>
              <w:rPr>
                <w:rFonts w:ascii="Theinhardt Light" w:hAnsi="Theinhardt Light"/>
              </w:rPr>
            </w:pPr>
          </w:p>
          <w:p w:rsidR="003E27A7" w:rsidRPr="003E27A7" w:rsidRDefault="003E27A7" w:rsidP="003E27A7">
            <w:pPr>
              <w:jc w:val="right"/>
              <w:rPr>
                <w:rFonts w:ascii="Theinhardt Light" w:hAnsi="Theinhardt Light"/>
                <w:b/>
                <w:sz w:val="32"/>
              </w:rPr>
            </w:pPr>
            <w:r w:rsidRPr="003E27A7">
              <w:rPr>
                <w:rFonts w:ascii="Theinhardt Light" w:hAnsi="Theinhardt Light"/>
                <w:b/>
                <w:sz w:val="32"/>
              </w:rPr>
              <w:t>„Coś wspólnego”</w:t>
            </w:r>
          </w:p>
          <w:p w:rsidR="003E27A7" w:rsidRPr="003E27A7" w:rsidRDefault="003E27A7" w:rsidP="003E27A7">
            <w:pPr>
              <w:jc w:val="right"/>
              <w:rPr>
                <w:rFonts w:ascii="Theinhardt Light" w:hAnsi="Theinhardt Light"/>
                <w:b/>
                <w:sz w:val="32"/>
              </w:rPr>
            </w:pPr>
            <w:r w:rsidRPr="003E27A7">
              <w:rPr>
                <w:rFonts w:ascii="Theinhardt Light" w:hAnsi="Theinhardt Light"/>
                <w:b/>
                <w:sz w:val="32"/>
              </w:rPr>
              <w:t>12. edyc</w:t>
            </w:r>
            <w:r>
              <w:rPr>
                <w:rFonts w:ascii="Theinhardt Light" w:hAnsi="Theinhardt Light"/>
                <w:b/>
                <w:sz w:val="32"/>
              </w:rPr>
              <w:t>ja festiwalu WARSZAWA W BUDOWIE</w:t>
            </w:r>
          </w:p>
          <w:p w:rsidR="003E27A7" w:rsidRDefault="003E27A7" w:rsidP="003E27A7">
            <w:pPr>
              <w:jc w:val="right"/>
              <w:rPr>
                <w:rFonts w:ascii="Theinhardt Light" w:hAnsi="Theinhardt Light"/>
              </w:rPr>
            </w:pPr>
          </w:p>
          <w:p w:rsidR="009863F1" w:rsidRPr="003E27A7" w:rsidRDefault="009863F1" w:rsidP="003E27A7">
            <w:pPr>
              <w:jc w:val="right"/>
              <w:rPr>
                <w:rFonts w:ascii="Theinhardt Light" w:hAnsi="Theinhardt Light"/>
              </w:rPr>
            </w:pPr>
          </w:p>
          <w:p w:rsidR="003E27A7" w:rsidRPr="003E27A7" w:rsidRDefault="003E27A7" w:rsidP="003E27A7">
            <w:pPr>
              <w:jc w:val="right"/>
              <w:rPr>
                <w:rFonts w:ascii="Theinhardt Light" w:hAnsi="Theinhardt Light"/>
              </w:rPr>
            </w:pPr>
            <w:r w:rsidRPr="003E27A7">
              <w:rPr>
                <w:rFonts w:ascii="Theinhardt Light" w:hAnsi="Theinhardt Light"/>
              </w:rPr>
              <w:t>2.10.2020 – 17.01.2021</w:t>
            </w:r>
          </w:p>
          <w:p w:rsidR="003E27A7" w:rsidRPr="003E27A7" w:rsidRDefault="003E27A7" w:rsidP="003E27A7">
            <w:pPr>
              <w:jc w:val="right"/>
              <w:rPr>
                <w:rFonts w:ascii="Theinhardt Light" w:hAnsi="Theinhardt Light"/>
              </w:rPr>
            </w:pPr>
            <w:r w:rsidRPr="003E27A7">
              <w:rPr>
                <w:rFonts w:ascii="Theinhardt Light" w:hAnsi="Theinhardt Light"/>
              </w:rPr>
              <w:t>Wybrzeże Kościuszkowskie 22</w:t>
            </w:r>
          </w:p>
        </w:tc>
      </w:tr>
    </w:tbl>
    <w:p w:rsidR="00C77CC3" w:rsidRPr="003E27A7" w:rsidRDefault="00C77CC3" w:rsidP="00C77CC3">
      <w:pPr>
        <w:rPr>
          <w:rFonts w:ascii="Theinhardt Light" w:hAnsi="Theinhardt Light"/>
        </w:rPr>
      </w:pPr>
    </w:p>
    <w:p w:rsidR="00C77CC3" w:rsidRDefault="00C77CC3" w:rsidP="00C77CC3">
      <w:pPr>
        <w:rPr>
          <w:rFonts w:ascii="Theinhardt Light" w:hAnsi="Theinhardt Light"/>
        </w:rPr>
      </w:pPr>
    </w:p>
    <w:p w:rsidR="001648EB" w:rsidRPr="003E27A7" w:rsidRDefault="001648EB" w:rsidP="00C77CC3">
      <w:pPr>
        <w:rPr>
          <w:rFonts w:ascii="Theinhardt Light" w:hAnsi="Theinhardt Light"/>
        </w:rPr>
      </w:pPr>
    </w:p>
    <w:p w:rsidR="00C77CC3" w:rsidRPr="009863F1" w:rsidRDefault="00C77CC3" w:rsidP="007838F2">
      <w:pPr>
        <w:jc w:val="both"/>
        <w:rPr>
          <w:rFonts w:ascii="Theinhardt Light" w:hAnsi="Theinhardt Light"/>
          <w:b/>
        </w:rPr>
      </w:pPr>
      <w:r w:rsidRPr="001648EB">
        <w:rPr>
          <w:rFonts w:ascii="Theinhardt Light" w:hAnsi="Theinhardt Light"/>
          <w:b/>
        </w:rPr>
        <w:t xml:space="preserve">Muzeum Sztuki Nowoczesnej w Warszawie zaprasza na </w:t>
      </w:r>
      <w:r w:rsidR="009863F1">
        <w:rPr>
          <w:rFonts w:ascii="Theinhardt Light" w:hAnsi="Theinhardt Light"/>
          <w:b/>
        </w:rPr>
        <w:t>wystawę</w:t>
      </w:r>
      <w:r w:rsidRPr="001648EB">
        <w:rPr>
          <w:rFonts w:ascii="Theinhardt Light" w:hAnsi="Theinhardt Light"/>
          <w:b/>
        </w:rPr>
        <w:t xml:space="preserve"> </w:t>
      </w:r>
      <w:r w:rsidR="0096175A">
        <w:rPr>
          <w:rFonts w:ascii="Theinhardt Light" w:hAnsi="Theinhardt Light"/>
          <w:b/>
        </w:rPr>
        <w:br/>
      </w:r>
      <w:r w:rsidR="009863F1">
        <w:rPr>
          <w:rFonts w:ascii="Theinhardt Light" w:hAnsi="Theinhardt Light"/>
          <w:b/>
        </w:rPr>
        <w:t>„Coś wspólnego” w ramach</w:t>
      </w:r>
      <w:r w:rsidRPr="001648EB">
        <w:rPr>
          <w:rFonts w:ascii="Theinhardt Light" w:hAnsi="Theinhardt Light"/>
          <w:b/>
        </w:rPr>
        <w:t xml:space="preserve"> 12. edycji festiwalu WARSZAWA W BUDOWIE. </w:t>
      </w:r>
    </w:p>
    <w:p w:rsidR="00EB7A9A" w:rsidRPr="00EB7A9A" w:rsidRDefault="00EB7A9A" w:rsidP="00EB7A9A">
      <w:pPr>
        <w:jc w:val="both"/>
        <w:rPr>
          <w:rFonts w:ascii="Theinhardt Light" w:hAnsi="Theinhardt Light"/>
        </w:rPr>
      </w:pPr>
    </w:p>
    <w:p w:rsidR="00EB7A9A" w:rsidRDefault="00EB7A9A" w:rsidP="00EB7A9A">
      <w:pPr>
        <w:jc w:val="both"/>
        <w:rPr>
          <w:rFonts w:ascii="Theinhardt Light" w:hAnsi="Theinhardt Light"/>
        </w:rPr>
      </w:pPr>
      <w:r w:rsidRPr="00EB7A9A">
        <w:rPr>
          <w:rFonts w:ascii="Theinhardt Light" w:hAnsi="Theinhardt Light"/>
        </w:rPr>
        <w:t xml:space="preserve">Przygotowania do tegorocznego festiwalu WARSZAWA W BUDOWIE toczyły się w czasie pandemii, kiedy zarówno praktyka artystek i artystów, jak i funkcjonowanie Muzeum Sztuki Nowoczesnej w Warszawie uległy wielu niespodziewanym przemianom. Jak wpłynęło to na kształt festiwalu?  W jaki sposób nowa rzeczywistość odbija się w pracach, które zobaczymy podczas 12. edycji festiwalu WARSZAWA W BUDOWIE? </w:t>
      </w:r>
    </w:p>
    <w:p w:rsidR="00EB7A9A" w:rsidRPr="00EB7A9A" w:rsidRDefault="00EB7A9A" w:rsidP="00EB7A9A">
      <w:pPr>
        <w:jc w:val="both"/>
        <w:rPr>
          <w:rFonts w:ascii="Theinhardt Light" w:hAnsi="Theinhardt Light"/>
        </w:rPr>
      </w:pPr>
    </w:p>
    <w:p w:rsidR="00EB7A9A" w:rsidRPr="00EB7A9A" w:rsidRDefault="00EB7A9A" w:rsidP="00EB7A9A">
      <w:pPr>
        <w:jc w:val="both"/>
        <w:rPr>
          <w:rFonts w:ascii="Theinhardt Light" w:hAnsi="Theinhardt Light"/>
        </w:rPr>
      </w:pPr>
      <w:r w:rsidRPr="00EB7A9A">
        <w:rPr>
          <w:rFonts w:ascii="Theinhardt Light" w:hAnsi="Theinhardt Light"/>
        </w:rPr>
        <w:t>Jak zapowiadają kuratorzy tegoroczna edycja, różni się on od poprzednich swoją formułą oraz przesunięciem zainteresowania z architektury, urbanistyki czy odbudowy Warszawy ku wspólnocie – rozumianej w najprostszy i najbardziej bezpośredni sposób, jako wymiana praktycznych umiejętności oraz sąsiedzkich doświadczeń. Trwającej do 17.01.2021 wystawie towarzyszyć będą oprowadzania kuratorów, artystów i gości specjalnych oraz wydarzenia dodatkowe, realizowane stacjonarnie i online. Cztery debaty już w ciągu najbliższych tygodni.</w:t>
      </w:r>
    </w:p>
    <w:p w:rsidR="00EB7A9A" w:rsidRPr="00EB7A9A" w:rsidRDefault="00EB7A9A" w:rsidP="00EB7A9A">
      <w:pPr>
        <w:jc w:val="both"/>
        <w:rPr>
          <w:rFonts w:ascii="Theinhardt Light" w:hAnsi="Theinhardt Light"/>
        </w:rPr>
      </w:pPr>
    </w:p>
    <w:p w:rsidR="00EB7A9A" w:rsidRPr="00EB7A9A" w:rsidRDefault="00EB7A9A" w:rsidP="00EB7A9A">
      <w:pPr>
        <w:jc w:val="both"/>
        <w:rPr>
          <w:rFonts w:ascii="Theinhardt Light" w:hAnsi="Theinhardt Light"/>
        </w:rPr>
      </w:pPr>
      <w:r w:rsidRPr="00EB7A9A">
        <w:rPr>
          <w:rFonts w:ascii="Theinhardt Light" w:hAnsi="Theinhardt Light"/>
        </w:rPr>
        <w:t xml:space="preserve">Tomasz Fudala, jeden z dwojga kuratorów, wyjaśnia: „Prace zgromadzone na wystawie wynikają z przemyśleń artystek i artystów na temat osiągnięć i deficytów wspólnot w różnej skali. Są z jednej strony rodzajem archiwum «małych zwycięstw», czyli sukcesów różnych wspólnot, z drugiej strony prezentują gorzkie refleksje na temat trudności w zniesieniu społecznych nierówności i porozumienia ponad ekonomicznymi nierównościami”. </w:t>
      </w:r>
    </w:p>
    <w:p w:rsidR="00EB7A9A" w:rsidRPr="00EB7A9A" w:rsidRDefault="00EB7A9A" w:rsidP="00EB7A9A">
      <w:pPr>
        <w:jc w:val="both"/>
        <w:rPr>
          <w:rFonts w:ascii="Theinhardt Light" w:hAnsi="Theinhardt Light"/>
        </w:rPr>
      </w:pPr>
    </w:p>
    <w:p w:rsidR="00EB7A9A" w:rsidRPr="00EB7A9A" w:rsidRDefault="00EB7A9A" w:rsidP="00EB7A9A">
      <w:pPr>
        <w:jc w:val="both"/>
        <w:rPr>
          <w:rFonts w:ascii="Theinhardt Light" w:hAnsi="Theinhardt Light"/>
        </w:rPr>
      </w:pPr>
      <w:r w:rsidRPr="00EB7A9A">
        <w:rPr>
          <w:rFonts w:ascii="Theinhardt Light" w:hAnsi="Theinhardt Light"/>
        </w:rPr>
        <w:t xml:space="preserve">Widzów wystawy wita mural-pomnik Rafała Dominika „Polacy się jednoczą”. Wysokie na sześć metrów malowidło ścienne jest odważną fantazją: przedstawia scenę polsko-polskiego pojednania, które układem nawiązuje do figuralnych monumentalnych kompozycji znanych z historii sztuki. </w:t>
      </w:r>
    </w:p>
    <w:p w:rsidR="00EB7A9A" w:rsidRPr="00EB7A9A" w:rsidRDefault="00EB7A9A" w:rsidP="00EB7A9A">
      <w:pPr>
        <w:jc w:val="both"/>
        <w:rPr>
          <w:rFonts w:ascii="Theinhardt Light" w:hAnsi="Theinhardt Light"/>
        </w:rPr>
      </w:pPr>
      <w:r w:rsidRPr="00EB7A9A">
        <w:rPr>
          <w:rFonts w:ascii="Theinhardt Light" w:hAnsi="Theinhardt Light"/>
        </w:rPr>
        <w:t xml:space="preserve">W centrum ekspozycji znajduje się „Obserwatorium” Zuzy Golińskiej – model wywróconej na drugą stronę trybuny w pełnej skali. Natalia Sielewicz, kuratorka wystawy i festiwalu, </w:t>
      </w:r>
      <w:r w:rsidRPr="00EB7A9A">
        <w:rPr>
          <w:rFonts w:ascii="Theinhardt Light" w:hAnsi="Theinhardt Light"/>
        </w:rPr>
        <w:lastRenderedPageBreak/>
        <w:t>zauważa: „Instalacja jest refleksją na temat możliwości bycia razem w przestrzeni publicznej. W przeciwieństwie do konstrukcji audytoryjnych eksponujących i uwznioślających osobę lub grupę, która stoi centralnie na scenie, artystka przekierowuje orientację przestrzenną na zewnątrz bryły i zwraca uwagę użytkowników na otoczenie. Stopnie skierowane na zewnątrz obserwatorium skłaniają do refleksji nad różnymi modelami partycypacji w przestrzeni publicznej”.</w:t>
      </w:r>
    </w:p>
    <w:p w:rsidR="00EB7A9A" w:rsidRPr="00EB7A9A" w:rsidRDefault="00EB7A9A" w:rsidP="00EB7A9A">
      <w:pPr>
        <w:jc w:val="both"/>
        <w:rPr>
          <w:rFonts w:ascii="Theinhardt Light" w:hAnsi="Theinhardt Light"/>
        </w:rPr>
      </w:pPr>
      <w:r w:rsidRPr="00EB7A9A">
        <w:rPr>
          <w:rFonts w:ascii="Theinhardt Light" w:hAnsi="Theinhardt Light"/>
        </w:rPr>
        <w:t>Pod sufitem sali w Muzeum nad Wisłą wisi dwudziestometrowa tkanina zatytułowana „Wasze rzeczy”, uszyta przez Pamelę Bożek i czeczeńskie uchodźczynie. Punktem wyjścia dla jej stworzenia była zbiórka odziez</w:t>
      </w:r>
      <w:r w:rsidRPr="00EB7A9A">
        <w:rPr>
          <w:rFonts w:ascii="Arial" w:hAnsi="Arial" w:cs="Arial"/>
        </w:rPr>
        <w:t>̇</w:t>
      </w:r>
      <w:r w:rsidRPr="00EB7A9A">
        <w:rPr>
          <w:rFonts w:ascii="Theinhardt Light" w:hAnsi="Theinhardt Light"/>
        </w:rPr>
        <w:t xml:space="preserve">y dla uchodźców z Ośrodka w </w:t>
      </w:r>
      <w:r w:rsidRPr="00EB7A9A">
        <w:rPr>
          <w:rFonts w:ascii="Theinhardt Light" w:hAnsi="Theinhardt Light" w:cs="Theinhardt Light"/>
        </w:rPr>
        <w:t>Ł</w:t>
      </w:r>
      <w:r w:rsidRPr="00EB7A9A">
        <w:rPr>
          <w:rFonts w:ascii="Theinhardt Light" w:hAnsi="Theinhardt Light"/>
        </w:rPr>
        <w:t>ukowie, kt</w:t>
      </w:r>
      <w:r w:rsidRPr="00EB7A9A">
        <w:rPr>
          <w:rFonts w:ascii="Theinhardt Light" w:hAnsi="Theinhardt Light" w:cs="Theinhardt Light"/>
        </w:rPr>
        <w:t>ó</w:t>
      </w:r>
      <w:r w:rsidRPr="00EB7A9A">
        <w:rPr>
          <w:rFonts w:ascii="Theinhardt Light" w:hAnsi="Theinhardt Light"/>
        </w:rPr>
        <w:t>ra mimo szlachetnej intencji okaza</w:t>
      </w:r>
      <w:r w:rsidRPr="00EB7A9A">
        <w:rPr>
          <w:rFonts w:ascii="Theinhardt Light" w:hAnsi="Theinhardt Light" w:cs="Theinhardt Light"/>
        </w:rPr>
        <w:t>ł</w:t>
      </w:r>
      <w:r w:rsidRPr="00EB7A9A">
        <w:rPr>
          <w:rFonts w:ascii="Theinhardt Light" w:hAnsi="Theinhardt Light"/>
        </w:rPr>
        <w:t>a si</w:t>
      </w:r>
      <w:r w:rsidRPr="00EB7A9A">
        <w:rPr>
          <w:rFonts w:ascii="Theinhardt Light" w:hAnsi="Theinhardt Light" w:cs="Theinhardt Light"/>
        </w:rPr>
        <w:t>ę</w:t>
      </w:r>
      <w:r w:rsidRPr="00EB7A9A">
        <w:rPr>
          <w:rFonts w:ascii="Theinhardt Light" w:hAnsi="Theinhardt Light"/>
        </w:rPr>
        <w:t xml:space="preserve"> by</w:t>
      </w:r>
      <w:r w:rsidRPr="00EB7A9A">
        <w:rPr>
          <w:rFonts w:ascii="Theinhardt Light" w:hAnsi="Theinhardt Light" w:cs="Theinhardt Light"/>
        </w:rPr>
        <w:t>ć</w:t>
      </w:r>
      <w:r w:rsidRPr="00EB7A9A">
        <w:rPr>
          <w:rFonts w:ascii="Theinhardt Light" w:hAnsi="Theinhardt Light"/>
        </w:rPr>
        <w:t xml:space="preserve"> nie do ko</w:t>
      </w:r>
      <w:r w:rsidRPr="00EB7A9A">
        <w:rPr>
          <w:rFonts w:ascii="Theinhardt Light" w:hAnsi="Theinhardt Light" w:cs="Theinhardt Light"/>
        </w:rPr>
        <w:t>ń</w:t>
      </w:r>
      <w:r w:rsidRPr="00EB7A9A">
        <w:rPr>
          <w:rFonts w:ascii="Theinhardt Light" w:hAnsi="Theinhardt Light"/>
        </w:rPr>
        <w:t>ca skuteczna: zebranych ubrań okazało się zbyt wiele dla kobiet i dzieci z Ośrodka, cze</w:t>
      </w:r>
      <w:r w:rsidRPr="00EB7A9A">
        <w:rPr>
          <w:rFonts w:ascii="Arial" w:hAnsi="Arial" w:cs="Arial"/>
        </w:rPr>
        <w:t>̨</w:t>
      </w:r>
      <w:r w:rsidRPr="00EB7A9A">
        <w:rPr>
          <w:rFonts w:ascii="Theinhardt Light" w:hAnsi="Theinhardt Light"/>
        </w:rPr>
        <w:t>sto tez</w:t>
      </w:r>
      <w:r w:rsidRPr="00EB7A9A">
        <w:rPr>
          <w:rFonts w:ascii="Arial" w:hAnsi="Arial" w:cs="Arial"/>
        </w:rPr>
        <w:t>̇</w:t>
      </w:r>
      <w:r w:rsidRPr="00EB7A9A">
        <w:rPr>
          <w:rFonts w:ascii="Theinhardt Light" w:hAnsi="Theinhardt Light"/>
        </w:rPr>
        <w:t xml:space="preserve"> by</w:t>
      </w:r>
      <w:r w:rsidRPr="00EB7A9A">
        <w:rPr>
          <w:rFonts w:ascii="Theinhardt Light" w:hAnsi="Theinhardt Light" w:cs="Theinhardt Light"/>
        </w:rPr>
        <w:t>ł</w:t>
      </w:r>
      <w:r w:rsidRPr="00EB7A9A">
        <w:rPr>
          <w:rFonts w:ascii="Theinhardt Light" w:hAnsi="Theinhardt Light"/>
        </w:rPr>
        <w:t>y niedostosowane do ich potrzeb. Artystka zaproponowa</w:t>
      </w:r>
      <w:r w:rsidRPr="00EB7A9A">
        <w:rPr>
          <w:rFonts w:ascii="Theinhardt Light" w:hAnsi="Theinhardt Light" w:cs="Theinhardt Light"/>
        </w:rPr>
        <w:t>ł</w:t>
      </w:r>
      <w:r w:rsidRPr="00EB7A9A">
        <w:rPr>
          <w:rFonts w:ascii="Theinhardt Light" w:hAnsi="Theinhardt Light"/>
        </w:rPr>
        <w:t>a porozcinanie nadmiarowych rzeczy i zszycie ich w jedna</w:t>
      </w:r>
      <w:r w:rsidRPr="00EB7A9A">
        <w:rPr>
          <w:rFonts w:ascii="Arial" w:hAnsi="Arial" w:cs="Arial"/>
        </w:rPr>
        <w:t>̨</w:t>
      </w:r>
      <w:r w:rsidRPr="00EB7A9A">
        <w:rPr>
          <w:rFonts w:ascii="Theinhardt Light" w:hAnsi="Theinhardt Light"/>
        </w:rPr>
        <w:t xml:space="preserve"> tkanine</w:t>
      </w:r>
      <w:r w:rsidRPr="00EB7A9A">
        <w:rPr>
          <w:rFonts w:ascii="Arial" w:hAnsi="Arial" w:cs="Arial"/>
        </w:rPr>
        <w:t>̨</w:t>
      </w:r>
      <w:r w:rsidRPr="00EB7A9A">
        <w:rPr>
          <w:rFonts w:ascii="Theinhardt Light" w:hAnsi="Theinhardt Light"/>
        </w:rPr>
        <w:t>, kt</w:t>
      </w:r>
      <w:r w:rsidRPr="00EB7A9A">
        <w:rPr>
          <w:rFonts w:ascii="Theinhardt Light" w:hAnsi="Theinhardt Light" w:cs="Theinhardt Light"/>
        </w:rPr>
        <w:t>ó</w:t>
      </w:r>
      <w:r w:rsidRPr="00EB7A9A">
        <w:rPr>
          <w:rFonts w:ascii="Theinhardt Light" w:hAnsi="Theinhardt Light"/>
        </w:rPr>
        <w:t>r</w:t>
      </w:r>
      <w:r w:rsidRPr="00EB7A9A">
        <w:rPr>
          <w:rFonts w:ascii="Theinhardt Light" w:hAnsi="Theinhardt Light" w:cs="Theinhardt Light"/>
        </w:rPr>
        <w:t>ą</w:t>
      </w:r>
      <w:r w:rsidRPr="00EB7A9A">
        <w:rPr>
          <w:rFonts w:ascii="Theinhardt Light" w:hAnsi="Theinhardt Light"/>
        </w:rPr>
        <w:t xml:space="preserve"> zobaczymy w Muzeum.  </w:t>
      </w:r>
    </w:p>
    <w:p w:rsidR="00EB7A9A" w:rsidRPr="00EB7A9A" w:rsidRDefault="00EB7A9A" w:rsidP="00EB7A9A">
      <w:pPr>
        <w:jc w:val="both"/>
        <w:rPr>
          <w:rFonts w:ascii="Theinhardt Light" w:hAnsi="Theinhardt Light"/>
        </w:rPr>
      </w:pPr>
      <w:r w:rsidRPr="00EB7A9A">
        <w:rPr>
          <w:rFonts w:ascii="Theinhardt Light" w:hAnsi="Theinhardt Light"/>
        </w:rPr>
        <w:t>Z kolei Wojciech Dada, Katarzyna Górna i Rafał Jakubowicz proponują spojrzenie na wspólnotę ludzi oczami zwierząt. W ich filmie „Oczyszczenie” w rolę sędziów ludzkości wcielają się różne przedstawicielki i przedstawiciele fauny, wyliczając rozbudowaną listę argumentów przeciwko szkodliwej działalności homo sapiens. Poruszają kwestie, które wraz z rozwojem ludzkiej cywilizacji zagroziły istnieni</w:t>
      </w:r>
      <w:r>
        <w:rPr>
          <w:rFonts w:ascii="Theinhardt Light" w:hAnsi="Theinhardt Light"/>
        </w:rPr>
        <w:t>u życia: od cierpienia zwierząt</w:t>
      </w:r>
      <w:r>
        <w:rPr>
          <w:rFonts w:ascii="Theinhardt Light" w:hAnsi="Theinhardt Light"/>
        </w:rPr>
        <w:br/>
      </w:r>
      <w:r w:rsidRPr="00EB7A9A">
        <w:rPr>
          <w:rFonts w:ascii="Theinhardt Light" w:hAnsi="Theinhardt Light"/>
        </w:rPr>
        <w:t xml:space="preserve">w przemysłowych hodowlach, przez zaśmiecenie oceanów gigatonami plastiku, po emisję gazów cieplarnianych, prowadzącą do katastrofy klimatycznej. </w:t>
      </w:r>
    </w:p>
    <w:p w:rsidR="00EB7A9A" w:rsidRPr="00EB7A9A" w:rsidRDefault="00EB7A9A" w:rsidP="00EB7A9A">
      <w:pPr>
        <w:jc w:val="both"/>
        <w:rPr>
          <w:rFonts w:ascii="Theinhardt Light" w:hAnsi="Theinhardt Light"/>
        </w:rPr>
      </w:pPr>
      <w:r w:rsidRPr="00EB7A9A">
        <w:rPr>
          <w:rFonts w:ascii="Theinhardt Light" w:hAnsi="Theinhardt Light"/>
        </w:rPr>
        <w:t>Odwołując się do swojego rodowodu i historii, tegoroczny festiwal oczywiście podejmuje także typowo warszawskie wątki. W ramach wystawy zobaczymy zatem prace Marioli Przyjemskiej ukazujące pandemiczne życie w zamknięciu</w:t>
      </w:r>
      <w:r>
        <w:rPr>
          <w:rFonts w:ascii="Theinhardt Light" w:hAnsi="Theinhardt Light"/>
        </w:rPr>
        <w:t xml:space="preserve"> z widokiem na wysokie budynki.</w:t>
      </w:r>
      <w:r>
        <w:rPr>
          <w:rFonts w:ascii="Theinhardt Light" w:hAnsi="Theinhardt Light"/>
        </w:rPr>
        <w:br/>
      </w:r>
      <w:r w:rsidRPr="00EB7A9A">
        <w:rPr>
          <w:rFonts w:ascii="Theinhardt Light" w:hAnsi="Theinhardt Light"/>
        </w:rPr>
        <w:t xml:space="preserve">W serii obrazów na ekspozycji oraz filmów pokazywanych na stronie Muzeum wyrastające za oknem pracowni artystki drapacze chmur zlewają się z synonimami luksusu, jakimi są drogie kosmetyki. Nowe miasto jest dla artystki „miastem spektaklu”, konsumenckiego polowania na zdobycze, które mają wywołać w nas uczucie ponownego spełnienia, choć ich rewersem jest brak urbanistycznej harmonii i przestrzeni dla wspólnot oraz zieleni. </w:t>
      </w:r>
    </w:p>
    <w:p w:rsidR="00EB7A9A" w:rsidRPr="00EB7A9A" w:rsidRDefault="00EB7A9A" w:rsidP="00EB7A9A">
      <w:pPr>
        <w:jc w:val="both"/>
        <w:rPr>
          <w:rFonts w:ascii="Theinhardt Light" w:hAnsi="Theinhardt Light"/>
        </w:rPr>
      </w:pPr>
      <w:r w:rsidRPr="00EB7A9A">
        <w:rPr>
          <w:rFonts w:ascii="Theinhardt Light" w:hAnsi="Theinhardt Light"/>
        </w:rPr>
        <w:t>Mieszkańcy Warszawy i ich ogródki działkowe, tak pożądane i oblegane podczas pandemii, stały się natomiast inspiracją dla pracy Tomasza Saciłowskiego. Artysta prezentuje manifest Powszechnych Ogrodów Działkowych, w którym postuluje powszechny dostęp mieszkańców do owoców i warzyw uprawianych w parkach i na skwerach Warszawy. Saciłowski zachęca do zmiany w podejściu do zarządzania zielenią w mieście i stworzenia nowych Ogrodów Działkowych poprzez sadzenie roślin jadalnych w zielonych przestrzeniach wspólnych: parkach, ogrodach czy na skwerkach. Dzięki temu agre</w:t>
      </w:r>
      <w:r>
        <w:rPr>
          <w:rFonts w:ascii="Theinhardt Light" w:hAnsi="Theinhardt Light"/>
        </w:rPr>
        <w:t>st, porzeczki czy jabłka byłyby</w:t>
      </w:r>
      <w:r>
        <w:rPr>
          <w:rFonts w:ascii="Theinhardt Light" w:hAnsi="Theinhardt Light"/>
        </w:rPr>
        <w:br/>
      </w:r>
      <w:r w:rsidRPr="00EB7A9A">
        <w:rPr>
          <w:rFonts w:ascii="Theinhardt Light" w:hAnsi="Theinhardt Light"/>
        </w:rPr>
        <w:t>w zasięgu ręki w każdej dzielnicy miasta.</w:t>
      </w:r>
    </w:p>
    <w:p w:rsidR="00EB7A9A" w:rsidRPr="00EB7A9A" w:rsidRDefault="00EB7A9A" w:rsidP="00EB7A9A">
      <w:pPr>
        <w:jc w:val="both"/>
        <w:rPr>
          <w:rFonts w:ascii="Theinhardt Light" w:hAnsi="Theinhardt Light"/>
        </w:rPr>
      </w:pPr>
      <w:r w:rsidRPr="00EB7A9A">
        <w:rPr>
          <w:rFonts w:ascii="Theinhardt Light" w:hAnsi="Theinhardt Light"/>
        </w:rPr>
        <w:t>Idąc tym tropem widzki i widzowie festiwalu będą mogli sp</w:t>
      </w:r>
      <w:r>
        <w:rPr>
          <w:rFonts w:ascii="Theinhardt Light" w:hAnsi="Theinhardt Light"/>
        </w:rPr>
        <w:t>róbować własnych sił i wspólnie</w:t>
      </w:r>
      <w:r>
        <w:rPr>
          <w:rFonts w:ascii="Theinhardt Light" w:hAnsi="Theinhardt Light"/>
        </w:rPr>
        <w:br/>
      </w:r>
      <w:r w:rsidRPr="00EB7A9A">
        <w:rPr>
          <w:rFonts w:ascii="Theinhardt Light" w:hAnsi="Theinhardt Light"/>
        </w:rPr>
        <w:t>z aktywistką Agnieszką Dragon uprawiać działkę ud</w:t>
      </w:r>
      <w:r>
        <w:rPr>
          <w:rFonts w:ascii="Theinhardt Light" w:hAnsi="Theinhardt Light"/>
        </w:rPr>
        <w:t>ostępnioną Muzeum przez jednego</w:t>
      </w:r>
      <w:r>
        <w:rPr>
          <w:rFonts w:ascii="Theinhardt Light" w:hAnsi="Theinhardt Light"/>
        </w:rPr>
        <w:br/>
      </w:r>
      <w:r w:rsidRPr="00EB7A9A">
        <w:rPr>
          <w:rFonts w:ascii="Theinhardt Light" w:hAnsi="Theinhardt Light"/>
        </w:rPr>
        <w:t>z warszawskich pasjonatów ogrodnictwa wraz z Zarządem Rodzinnych Ogrodów Działkowych „Pratulińska” na Targówku Mieszkaniowym. Działanie to jest jednym z wielu festiwalowych przykładów współpracy z już istniejącymi wspólnotami.</w:t>
      </w:r>
    </w:p>
    <w:p w:rsidR="00EB7A9A" w:rsidRPr="00EB7A9A" w:rsidRDefault="00EB7A9A" w:rsidP="00EB7A9A">
      <w:pPr>
        <w:jc w:val="both"/>
        <w:rPr>
          <w:rFonts w:ascii="Theinhardt Light" w:hAnsi="Theinhardt Light"/>
        </w:rPr>
      </w:pPr>
      <w:r w:rsidRPr="00EB7A9A">
        <w:rPr>
          <w:rFonts w:ascii="Theinhardt Light" w:hAnsi="Theinhardt Light"/>
        </w:rPr>
        <w:t xml:space="preserve">Podobnego zagadnienia – odnalezienia się w istniejących mikrospołecznościach – dotyczą prace Alicji Wysockiej wykonane w technice tradycyjnego rękodzieła. Artystka opuszcza Warszawę i także dołącza do kół gospodyń wiejskich. Dają one uczestniczkom poczucie </w:t>
      </w:r>
      <w:r w:rsidRPr="00EB7A9A">
        <w:rPr>
          <w:rFonts w:ascii="Theinhardt Light" w:hAnsi="Theinhardt Light"/>
        </w:rPr>
        <w:lastRenderedPageBreak/>
        <w:t>przynależności i wspólnoty oraz pozwalają celebrować lokaln</w:t>
      </w:r>
      <w:r>
        <w:rPr>
          <w:rFonts w:ascii="Theinhardt Light" w:hAnsi="Theinhardt Light"/>
        </w:rPr>
        <w:t>ą historię, kulturę i tradycję.</w:t>
      </w:r>
      <w:r>
        <w:rPr>
          <w:rFonts w:ascii="Theinhardt Light" w:hAnsi="Theinhardt Light"/>
        </w:rPr>
        <w:br/>
      </w:r>
      <w:r w:rsidRPr="00EB7A9A">
        <w:rPr>
          <w:rFonts w:ascii="Theinhardt Light" w:hAnsi="Theinhardt Light"/>
        </w:rPr>
        <w:t>W ramach wystawy artystka prezentuje wyniki tych współprac.</w:t>
      </w:r>
    </w:p>
    <w:p w:rsidR="00EB7A9A" w:rsidRPr="00EB7A9A" w:rsidRDefault="00EB7A9A" w:rsidP="00EB7A9A">
      <w:pPr>
        <w:jc w:val="both"/>
        <w:rPr>
          <w:rFonts w:ascii="Theinhardt Light" w:hAnsi="Theinhardt Light"/>
        </w:rPr>
      </w:pPr>
      <w:r w:rsidRPr="00EB7A9A">
        <w:rPr>
          <w:rFonts w:ascii="Theinhardt Light" w:hAnsi="Theinhardt Light"/>
        </w:rPr>
        <w:t>Główny wątek 12. edycji WARSZAWY W BUDOWIE, czyli wspólnotę, w obliczu pandemii zaczęliśmy rozumieć także jako bycie razem w sieci. W naturalny sposób znajduje to odzwierciedlenie na wystawie, m.in. dzięki pracy Amy Muhoro i Weroniki Wysockiej – trzykanałowej instalacji wideo, będącej owocem interdyscyplinarnych badań przeprowadzonych minionego lata w trakcie samoizolacji. Artystki zamknęły się w domu, by przez okres kilku tygodni przeczesywać konta w serwisach społecznościowych, fora i odległe zakamarki internetu</w:t>
      </w:r>
      <w:r>
        <w:rPr>
          <w:rFonts w:ascii="Theinhardt Light" w:hAnsi="Theinhardt Light"/>
        </w:rPr>
        <w:t xml:space="preserve">, mapując „opresję algorytmów”  </w:t>
      </w:r>
      <w:r w:rsidRPr="00EB7A9A">
        <w:rPr>
          <w:rFonts w:ascii="Theinhardt Light" w:hAnsi="Theinhardt Light"/>
        </w:rPr>
        <w:t xml:space="preserve">i sposoby manipulacji w social mediach. Ich badania ukazują </w:t>
      </w:r>
      <w:r>
        <w:rPr>
          <w:rFonts w:ascii="Theinhardt Light" w:hAnsi="Theinhardt Light"/>
        </w:rPr>
        <w:t xml:space="preserve">stopniową polaryzację poglądów  </w:t>
      </w:r>
      <w:r w:rsidRPr="00EB7A9A">
        <w:rPr>
          <w:rFonts w:ascii="Theinhardt Light" w:hAnsi="Theinhardt Light"/>
        </w:rPr>
        <w:t>i załamanie bezpieczeństwa cybernetycznego.</w:t>
      </w:r>
    </w:p>
    <w:p w:rsidR="00EB7A9A" w:rsidRPr="00EB7A9A" w:rsidRDefault="00EB7A9A" w:rsidP="00EB7A9A">
      <w:pPr>
        <w:jc w:val="both"/>
        <w:rPr>
          <w:rFonts w:ascii="Theinhardt Light" w:hAnsi="Theinhardt Light"/>
        </w:rPr>
      </w:pPr>
      <w:r w:rsidRPr="00EB7A9A">
        <w:rPr>
          <w:rFonts w:ascii="Theinhardt Light" w:hAnsi="Theinhardt Light"/>
        </w:rPr>
        <w:t>Wystawie 12. edycji festiwalu WARSZAWA W BUDOWIE pod tytułem „Coś wspólnego” towarzyszy tzw. program publiczny, czyli liczne oprowadzania i wydarzenia. Program ten jest w dużej mierze efektem pracy siedmiu grup badawczych (nazywanych też grupami roboczymi), które zawiązały się i pracują w ramach festiwalu. W ich skład wchodzą zarówno artystki i artyści, aktywistki i aktywiści, jak i pracownicy i pracowniczki różnych działów Muzeum Sztuki Nowoczesnej w Warszawie. Grupa Blizkist (po ukraińsku: bliskość) organizuje oprowadzanie po Parku Rzeźby na Bródnie w języku ukraińskim (3.10 o 16:00), członkinie grupy Mieszkać razem zapraszają na debatę online „PRAKTYKI WSPÓLNEGO MIESZKANIA – reportaże ze świata o cohousingu senioralnym” (6.10 o 18:00), w której udział wezmą Aleksandra Zbroja, Ada Petericzko i Marta Trakul-Masłowska. Grupa Przyszłość danych przygotowuje debatę online o wspólnicach danych (8.10. o 18:00), do której zaproszono Jana Zygmuntowskiego, Aleksandrę Przegalińską,</w:t>
      </w:r>
      <w:r>
        <w:rPr>
          <w:rFonts w:ascii="Theinhardt Light" w:hAnsi="Theinhardt Light"/>
        </w:rPr>
        <w:t xml:space="preserve"> Monikę Konrad i Jana Sowę, zaś</w:t>
      </w:r>
      <w:r>
        <w:rPr>
          <w:rFonts w:ascii="Theinhardt Light" w:hAnsi="Theinhardt Light"/>
        </w:rPr>
        <w:br/>
        <w:t xml:space="preserve">o dostępie migrantów  </w:t>
      </w:r>
      <w:r w:rsidRPr="00EB7A9A">
        <w:rPr>
          <w:rFonts w:ascii="Theinhardt Light" w:hAnsi="Theinhardt Light"/>
        </w:rPr>
        <w:t xml:space="preserve">i migrantek do kultury oraz o zagranicznych artystkach mieszkających w Polsce na zaproszenie grupy Blizkist dyskutować online będą Julia Kryvobok, Urszula Markowska-Manista, Marta Jadwiga Pietrusińska i Anna Dąbrowska (13.10 o 18:00).  </w:t>
      </w:r>
      <w:r>
        <w:rPr>
          <w:rFonts w:ascii="Theinhardt Light" w:hAnsi="Theinhardt Light"/>
        </w:rPr>
        <w:br/>
      </w:r>
      <w:r w:rsidRPr="00EB7A9A">
        <w:rPr>
          <w:rFonts w:ascii="Theinhardt Light" w:hAnsi="Theinhardt Light"/>
        </w:rPr>
        <w:t>15 października, tak</w:t>
      </w:r>
      <w:r>
        <w:rPr>
          <w:rFonts w:ascii="Theinhardt Light" w:hAnsi="Theinhardt Light"/>
        </w:rPr>
        <w:t xml:space="preserve">że o godz. 18.00, odbędzie się  </w:t>
      </w:r>
      <w:r w:rsidRPr="00EB7A9A">
        <w:rPr>
          <w:rFonts w:ascii="Theinhardt Light" w:hAnsi="Theinhardt Light"/>
        </w:rPr>
        <w:t>z kolei, organizowana przez grupę Czarne jest polskie, debata online poświęcona międzypokoleniowemu doświadczeniu rasowemu Polaków afrykańskiego pochodzenia</w:t>
      </w:r>
      <w:r>
        <w:rPr>
          <w:rFonts w:ascii="Theinhardt Light" w:hAnsi="Theinhardt Light"/>
        </w:rPr>
        <w:t xml:space="preserve">. Wezmą </w:t>
      </w:r>
      <w:r w:rsidRPr="00EB7A9A">
        <w:rPr>
          <w:rFonts w:ascii="Theinhardt Light" w:hAnsi="Theinhardt Light"/>
        </w:rPr>
        <w:t>w niej udział: Salwadora Diogo, Tochukwu Nwolisa, Oliwii Bosomtwe, Mamadou Diouf i Margaret Ohia-Nowak.</w:t>
      </w:r>
    </w:p>
    <w:p w:rsidR="00EB7A9A" w:rsidRDefault="00EB7A9A" w:rsidP="00EB7A9A">
      <w:pPr>
        <w:jc w:val="both"/>
        <w:rPr>
          <w:rFonts w:ascii="Theinhardt Light" w:hAnsi="Theinhardt Light"/>
        </w:rPr>
      </w:pPr>
    </w:p>
    <w:p w:rsidR="00EB7A9A" w:rsidRPr="00EB7A9A" w:rsidRDefault="00EB7A9A" w:rsidP="00EB7A9A">
      <w:pPr>
        <w:jc w:val="both"/>
        <w:rPr>
          <w:rFonts w:ascii="Theinhardt Light" w:hAnsi="Theinhardt Light"/>
        </w:rPr>
      </w:pPr>
      <w:r w:rsidRPr="00EB7A9A">
        <w:rPr>
          <w:rFonts w:ascii="Theinhardt Light" w:hAnsi="Theinhardt Light"/>
        </w:rPr>
        <w:t xml:space="preserve">Kalendarium oprowadzań i wydarzeń towarzyszących wystawie 12. edycji festiwalu WARSZAWA W BUDOWIE pod tytułem „Coś wspólnego” znajduje się na stronie warszawawbudowie.pl. </w:t>
      </w:r>
    </w:p>
    <w:p w:rsidR="00ED3898" w:rsidRDefault="00ED3898" w:rsidP="007838F2">
      <w:pPr>
        <w:jc w:val="both"/>
        <w:rPr>
          <w:rFonts w:ascii="Theinhardt Light" w:hAnsi="Theinhardt Light"/>
        </w:rPr>
      </w:pPr>
    </w:p>
    <w:p w:rsidR="00ED3898" w:rsidRPr="00DD6ACD" w:rsidRDefault="00ED3898" w:rsidP="00ED3898">
      <w:pPr>
        <w:shd w:val="clear" w:color="auto" w:fill="FFFFFF"/>
        <w:rPr>
          <w:rFonts w:ascii="Theinhardt Light" w:hAnsi="Theinhardt Light" w:cs="Times New Roman"/>
          <w:b/>
          <w:color w:val="000000"/>
          <w:lang w:val="cs-CZ"/>
        </w:rPr>
      </w:pPr>
      <w:r w:rsidRPr="00DD6ACD">
        <w:rPr>
          <w:rFonts w:ascii="Theinhardt Light" w:hAnsi="Theinhardt Light" w:cs="Times New Roman"/>
          <w:b/>
          <w:color w:val="000000"/>
          <w:lang w:val="cs-CZ"/>
        </w:rPr>
        <w:t>Kuratorzy:</w:t>
      </w:r>
    </w:p>
    <w:p w:rsidR="00ED3898" w:rsidRPr="00073863" w:rsidRDefault="00ED3898" w:rsidP="00ED3898">
      <w:pPr>
        <w:shd w:val="clear" w:color="auto" w:fill="FFFFFF"/>
        <w:rPr>
          <w:rFonts w:ascii="Theinhardt Light" w:hAnsi="Theinhardt Light" w:cs="Times New Roman"/>
          <w:color w:val="000000"/>
          <w:lang w:val="cs-CZ"/>
        </w:rPr>
      </w:pPr>
      <w:r w:rsidRPr="003E27A7">
        <w:rPr>
          <w:rFonts w:ascii="Theinhardt Light" w:hAnsi="Theinhardt Light" w:cs="Times New Roman"/>
          <w:color w:val="000000"/>
          <w:lang w:val="cs-CZ"/>
        </w:rPr>
        <w:t>Tomasz Fudala, Natalia Sielewicz</w:t>
      </w:r>
    </w:p>
    <w:p w:rsidR="00C77CC3" w:rsidRPr="003E27A7" w:rsidRDefault="00C77CC3" w:rsidP="007838F2">
      <w:pPr>
        <w:jc w:val="both"/>
        <w:rPr>
          <w:rFonts w:ascii="Theinhardt Light" w:hAnsi="Theinhardt Light" w:cs="Times New Roman"/>
        </w:rPr>
      </w:pPr>
    </w:p>
    <w:p w:rsidR="00DD6ACD" w:rsidRPr="00DD6ACD" w:rsidRDefault="00DD6ACD" w:rsidP="00DD6ACD">
      <w:pPr>
        <w:shd w:val="clear" w:color="auto" w:fill="FFFFFF"/>
        <w:spacing w:line="300" w:lineRule="atLeast"/>
        <w:jc w:val="both"/>
        <w:textAlignment w:val="baseline"/>
        <w:outlineLvl w:val="2"/>
        <w:rPr>
          <w:rFonts w:ascii="Theinhardt Light" w:eastAsia="Times New Roman" w:hAnsi="Theinhardt Light" w:cs="Helvetica"/>
          <w:b/>
          <w:color w:val="000000"/>
          <w:lang w:eastAsia="pl-PL"/>
        </w:rPr>
      </w:pPr>
      <w:r w:rsidRPr="00DD6ACD">
        <w:rPr>
          <w:rFonts w:ascii="Theinhardt Light" w:eastAsia="Times New Roman" w:hAnsi="Theinhardt Light" w:cs="Helvetica"/>
          <w:b/>
          <w:color w:val="000000"/>
          <w:lang w:eastAsia="pl-PL"/>
        </w:rPr>
        <w:t>Uczestniczki i Uczestnicy:</w:t>
      </w:r>
    </w:p>
    <w:p w:rsidR="00DD6ACD" w:rsidRPr="00DD6ACD" w:rsidRDefault="00DD6ACD" w:rsidP="00DD6ACD">
      <w:pPr>
        <w:shd w:val="clear" w:color="auto" w:fill="FFFFFF"/>
        <w:jc w:val="both"/>
        <w:textAlignment w:val="baseline"/>
        <w:rPr>
          <w:rFonts w:ascii="Theinhardt Light" w:eastAsia="Times New Roman" w:hAnsi="Theinhardt Light" w:cs="Helvetica"/>
          <w:color w:val="000000"/>
          <w:lang w:eastAsia="pl-PL"/>
        </w:rPr>
      </w:pPr>
      <w:r w:rsidRPr="00DD6ACD">
        <w:rPr>
          <w:rFonts w:ascii="Theinhardt Light" w:eastAsia="Times New Roman" w:hAnsi="Theinhardt Light" w:cs="Helvetica"/>
          <w:color w:val="000000"/>
          <w:lang w:eastAsia="pl-PL"/>
        </w:rPr>
        <w:t xml:space="preserve">Sara Alexandre, Marta Bartkowska, Józefina Bartyzel, Maria Beburia, Pamela Bożek, Paweł Brylski, Artur Celiński, Agnieszka Cieśla, Marta Czyż, Wojciech Dada, Aleksandra Dengo, Agnieszka Dragon, Magdalena Drągowska, Marianna Dobkowska, Rafał Dominik, Michał Frydrych, Taras Gembik, Zuza Golińska, Katarzyna Górna, Anna Grajewska, Grupa Za* (Yura Biley, Vera Zalutskaya, Yulia Krivich), Karolina Grzywnowicz, Rafał Jakubowicz, Ida </w:t>
      </w:r>
      <w:r w:rsidRPr="00DD6ACD">
        <w:rPr>
          <w:rFonts w:ascii="Theinhardt Light" w:eastAsia="Times New Roman" w:hAnsi="Theinhardt Light" w:cs="Helvetica"/>
          <w:color w:val="000000"/>
          <w:lang w:eastAsia="pl-PL"/>
        </w:rPr>
        <w:lastRenderedPageBreak/>
        <w:t>Karkoszka, Kacper Kępiński, Daniel Kotowski, Dominika Kowynia, Marta Krześlak, Kaja Kusztra, Kasper Lecnim, Michał Łukaszuk, Ewa Majewska, Marta Skowrońska-Markiewicz, Marta Trakul-Masłowska, Noemi Ndoloka Mbezi, Martyna Miller, Julia Minasiewicz, Jan Możdżyński, Amy Muhoro i Weronika Wysocka, Margaret Ohia-Nowak, Oleg&amp;Kaśka, Ada Petriczko, Kamil Pierwszy (Galeria Serce Człowieka), Post Studio Noviki, Marta Przasnek, Marta Przybył, Mariola Przyjemska, Alicja Rogalska, Jakub Rudziński, Irmina Rusicka, Daniel Rycharski, Tomasz Saciłowski, Beata Siemieniako, Mikołaj Sobczak, Kacha Szaniawska, Kuba Szreder, Małgorzata Mirga-Tas, Agata Twardoch, Marta Udoh, Ogi Ugonoh, Jolanta Woch, Katarzyna Wojtczak, Jan Eustachy Wolski, Alicja Wysocka, Weronika Zalewska, Aleksandra Kardach-Zbroja, Agata Diduszko-Zyglewska, Jan Zygmuntowski, Artur Żmijewski, Paweł Żukowski</w:t>
      </w:r>
    </w:p>
    <w:p w:rsidR="00DD6ACD" w:rsidRDefault="00DD6ACD" w:rsidP="00DD6ACD">
      <w:pPr>
        <w:shd w:val="clear" w:color="auto" w:fill="FFFFFF"/>
        <w:spacing w:line="300" w:lineRule="atLeast"/>
        <w:jc w:val="both"/>
        <w:textAlignment w:val="baseline"/>
        <w:outlineLvl w:val="2"/>
        <w:rPr>
          <w:rFonts w:ascii="Theinhardt Light" w:eastAsia="Times New Roman" w:hAnsi="Theinhardt Light" w:cs="Helvetica"/>
          <w:color w:val="000000"/>
          <w:lang w:eastAsia="pl-PL"/>
        </w:rPr>
      </w:pPr>
    </w:p>
    <w:p w:rsidR="00DD6ACD" w:rsidRPr="00DD6ACD" w:rsidRDefault="00DD6ACD" w:rsidP="00DD6ACD">
      <w:pPr>
        <w:shd w:val="clear" w:color="auto" w:fill="FFFFFF"/>
        <w:spacing w:line="300" w:lineRule="atLeast"/>
        <w:jc w:val="both"/>
        <w:textAlignment w:val="baseline"/>
        <w:outlineLvl w:val="2"/>
        <w:rPr>
          <w:rFonts w:ascii="Theinhardt Light" w:eastAsia="Times New Roman" w:hAnsi="Theinhardt Light" w:cs="Helvetica"/>
          <w:b/>
          <w:color w:val="000000"/>
          <w:lang w:eastAsia="pl-PL"/>
        </w:rPr>
      </w:pPr>
      <w:r w:rsidRPr="00DD6ACD">
        <w:rPr>
          <w:rFonts w:ascii="Theinhardt Light" w:eastAsia="Times New Roman" w:hAnsi="Theinhardt Light" w:cs="Helvetica"/>
          <w:b/>
          <w:color w:val="000000"/>
          <w:lang w:eastAsia="pl-PL"/>
        </w:rPr>
        <w:t>Nad programem wydarzeń towarzyszących pracowało siedem grup roboczych:</w:t>
      </w:r>
    </w:p>
    <w:p w:rsidR="00DD6ACD" w:rsidRPr="00DD6ACD" w:rsidRDefault="00DD6ACD" w:rsidP="00DD6ACD">
      <w:pPr>
        <w:shd w:val="clear" w:color="auto" w:fill="FFFFFF"/>
        <w:jc w:val="both"/>
        <w:textAlignment w:val="baseline"/>
        <w:rPr>
          <w:rFonts w:ascii="Theinhardt Light" w:eastAsia="Times New Roman" w:hAnsi="Theinhardt Light" w:cs="Helvetica"/>
          <w:color w:val="000000"/>
          <w:lang w:eastAsia="pl-PL"/>
        </w:rPr>
      </w:pPr>
      <w:r w:rsidRPr="00DD6ACD">
        <w:rPr>
          <w:rFonts w:ascii="Theinhardt Light" w:eastAsia="Times New Roman" w:hAnsi="Theinhardt Light" w:cs="Helvetica"/>
          <w:color w:val="000000"/>
          <w:lang w:eastAsia="pl-PL"/>
        </w:rPr>
        <w:t>Misja instytucji, Blyzkist, Mieszkać razem, Przyszłość danych, Czarne jest polskie, Językowa, Samorządowa. </w:t>
      </w:r>
    </w:p>
    <w:p w:rsidR="00C77CC3" w:rsidRPr="003E27A7" w:rsidRDefault="00C77CC3" w:rsidP="00C77CC3">
      <w:pPr>
        <w:rPr>
          <w:rFonts w:ascii="Theinhardt Light" w:hAnsi="Theinhardt Light" w:cs="Times New Roman"/>
        </w:rPr>
      </w:pPr>
    </w:p>
    <w:p w:rsidR="00491C68" w:rsidRDefault="00C77CC3" w:rsidP="00C77CC3">
      <w:pPr>
        <w:rPr>
          <w:rFonts w:ascii="Theinhardt Light" w:hAnsi="Theinhardt Light" w:cs="Times New Roman"/>
        </w:rPr>
      </w:pPr>
      <w:r w:rsidRPr="003E27A7">
        <w:rPr>
          <w:rFonts w:ascii="Theinhardt Light" w:hAnsi="Theinhardt Light" w:cs="Times New Roman"/>
        </w:rPr>
        <w:t>Kontakt dla mediów:</w:t>
      </w:r>
    </w:p>
    <w:p w:rsidR="00C77CC3" w:rsidRPr="003E27A7" w:rsidRDefault="00491C68" w:rsidP="00C77CC3">
      <w:pPr>
        <w:rPr>
          <w:rFonts w:ascii="Theinhardt Light" w:hAnsi="Theinhardt Light" w:cs="Times New Roman"/>
        </w:rPr>
      </w:pPr>
      <w:r>
        <w:rPr>
          <w:rFonts w:ascii="Theinhardt Light" w:hAnsi="Theinhardt Light" w:cs="Times New Roman"/>
        </w:rPr>
        <w:t>Marta Bartkowska |</w:t>
      </w:r>
      <w:r w:rsidR="00C77CC3" w:rsidRPr="003E27A7">
        <w:rPr>
          <w:rFonts w:ascii="Theinhardt Light" w:hAnsi="Theinhardt Light" w:cs="Times New Roman"/>
        </w:rPr>
        <w:t xml:space="preserve"> </w:t>
      </w:r>
      <w:hyperlink r:id="rId7" w:history="1">
        <w:r w:rsidRPr="00A94D79">
          <w:rPr>
            <w:rStyle w:val="Hipercze"/>
            <w:rFonts w:ascii="Theinhardt Light" w:hAnsi="Theinhardt Light" w:cs="Times New Roman"/>
          </w:rPr>
          <w:t>prasa@artmuseum.pl</w:t>
        </w:r>
      </w:hyperlink>
      <w:r>
        <w:rPr>
          <w:rFonts w:ascii="Theinhardt Light" w:hAnsi="Theinhardt Light" w:cs="Times New Roman"/>
        </w:rPr>
        <w:t xml:space="preserve"> | 501 275 126</w:t>
      </w:r>
    </w:p>
    <w:p w:rsidR="00C77CC3" w:rsidRDefault="00C77CC3" w:rsidP="00C77CC3">
      <w:pPr>
        <w:rPr>
          <w:rFonts w:ascii="Theinhardt Light" w:hAnsi="Theinhardt Light" w:cs="Times New Roman"/>
        </w:rPr>
      </w:pPr>
      <w:r w:rsidRPr="003E27A7">
        <w:rPr>
          <w:rFonts w:ascii="Theinhardt Light" w:hAnsi="Theinhardt Light" w:cs="Times New Roman"/>
        </w:rPr>
        <w:t xml:space="preserve">Materiały prasowe: </w:t>
      </w:r>
      <w:hyperlink r:id="rId8" w:history="1">
        <w:r w:rsidRPr="003512CE">
          <w:rPr>
            <w:rStyle w:val="Hipercze"/>
            <w:rFonts w:ascii="Theinhardt Light" w:hAnsi="Theinhardt Light" w:cs="Times New Roman"/>
          </w:rPr>
          <w:t xml:space="preserve">prasa.artmuseum.pl </w:t>
        </w:r>
      </w:hyperlink>
      <w:r w:rsidRPr="003E27A7">
        <w:rPr>
          <w:rFonts w:ascii="Theinhardt Light" w:hAnsi="Theinhardt Light" w:cs="Times New Roman"/>
        </w:rPr>
        <w:t xml:space="preserve"> </w:t>
      </w:r>
    </w:p>
    <w:p w:rsidR="00074344" w:rsidRDefault="007838F2" w:rsidP="00C77CC3">
      <w:pPr>
        <w:rPr>
          <w:rFonts w:ascii="Theinhardt Light" w:hAnsi="Theinhardt Light" w:cs="Times New Roman"/>
        </w:rPr>
      </w:pPr>
      <w:r>
        <w:rPr>
          <w:rFonts w:ascii="Theinhardt Light" w:hAnsi="Theinhardt Light" w:cs="Times New Roman"/>
        </w:rPr>
        <w:t xml:space="preserve">Strona internetowa: </w:t>
      </w:r>
      <w:hyperlink r:id="rId9" w:history="1">
        <w:r w:rsidRPr="00412132">
          <w:rPr>
            <w:rStyle w:val="Hipercze"/>
            <w:rFonts w:ascii="Theinhardt Light" w:hAnsi="Theinhardt Light" w:cs="Times New Roman"/>
          </w:rPr>
          <w:t>artmuseum.pl</w:t>
        </w:r>
      </w:hyperlink>
      <w:r>
        <w:rPr>
          <w:rFonts w:ascii="Theinhardt Light" w:hAnsi="Theinhardt Light" w:cs="Times New Roman"/>
        </w:rPr>
        <w:t xml:space="preserve"> oraz </w:t>
      </w:r>
      <w:hyperlink r:id="rId10" w:history="1">
        <w:r w:rsidRPr="00412132">
          <w:rPr>
            <w:rStyle w:val="Hipercze"/>
            <w:rFonts w:ascii="Theinhardt Light" w:hAnsi="Theinhardt Light" w:cs="Times New Roman"/>
          </w:rPr>
          <w:t>warszawawbudowie.pl</w:t>
        </w:r>
      </w:hyperlink>
      <w:r>
        <w:rPr>
          <w:rFonts w:ascii="Theinhardt Light" w:hAnsi="Theinhardt Light" w:cs="Times New Roman"/>
        </w:rPr>
        <w:t xml:space="preserve"> </w:t>
      </w:r>
    </w:p>
    <w:p w:rsidR="00074344" w:rsidRDefault="00074344" w:rsidP="00C77CC3">
      <w:pPr>
        <w:rPr>
          <w:rFonts w:ascii="Theinhardt Light" w:hAnsi="Theinhardt Light" w:cs="Times New Roman"/>
        </w:rPr>
      </w:pPr>
    </w:p>
    <w:p w:rsidR="00293B15" w:rsidRDefault="00293B15" w:rsidP="00C77CC3">
      <w:pPr>
        <w:rPr>
          <w:rFonts w:ascii="Theinhardt Light" w:hAnsi="Theinhardt Light" w:cs="Times New Roman"/>
        </w:rPr>
      </w:pPr>
    </w:p>
    <w:p w:rsidR="00293B15" w:rsidRDefault="00293B15" w:rsidP="00C77CC3">
      <w:pPr>
        <w:rPr>
          <w:rFonts w:ascii="Theinhardt Light" w:hAnsi="Theinhardt Light" w:cs="Times New Roman"/>
        </w:rPr>
      </w:pPr>
    </w:p>
    <w:p w:rsidR="00293B15" w:rsidRDefault="00293B15" w:rsidP="00C77CC3">
      <w:pPr>
        <w:rPr>
          <w:rFonts w:ascii="Theinhardt Light" w:hAnsi="Theinhardt Light" w:cs="Times New Roman"/>
        </w:rPr>
      </w:pPr>
    </w:p>
    <w:p w:rsidR="00074344" w:rsidRDefault="00302BC5" w:rsidP="00C77CC3">
      <w:pPr>
        <w:rPr>
          <w:rFonts w:ascii="Theinhardt Light" w:hAnsi="Theinhardt Light" w:cs="Times New Roman"/>
        </w:rPr>
      </w:pPr>
      <w:r>
        <w:rPr>
          <w:rFonts w:ascii="Theinhardt Light" w:hAnsi="Theinhardt Light" w:cs="Times New Roman"/>
        </w:rPr>
        <w:t xml:space="preserve">Projekt finansuje </w:t>
      </w:r>
      <w:r w:rsidR="00074344">
        <w:rPr>
          <w:rFonts w:ascii="Theinhardt Light" w:hAnsi="Theinhardt Light" w:cs="Times New Roman"/>
        </w:rPr>
        <w:t xml:space="preserve">m.st. Warszawa </w:t>
      </w:r>
    </w:p>
    <w:p w:rsidR="005E797D" w:rsidRDefault="00EB7A9A" w:rsidP="00C77CC3">
      <w:pPr>
        <w:rPr>
          <w:rFonts w:ascii="Theinhardt Light" w:hAnsi="Theinhardt Light" w:cs="Times New Roman"/>
        </w:rPr>
      </w:pPr>
      <w:r>
        <w:rPr>
          <w:rFonts w:ascii="Theinhardt Light" w:hAnsi="Theinhardt Light" w:cs="Times New Roman"/>
        </w:rPr>
        <w:pict>
          <v:shape id="_x0000_i1026" type="#_x0000_t75" style="width:96pt;height:96pt">
            <v:imagedata r:id="rId11" o:title="znak_czarny-01"/>
          </v:shape>
        </w:pict>
      </w:r>
    </w:p>
    <w:p w:rsidR="00293B15" w:rsidRDefault="00293B15" w:rsidP="00C77CC3">
      <w:pPr>
        <w:rPr>
          <w:rFonts w:ascii="Theinhardt Light" w:hAnsi="Theinhardt Light" w:cs="Helvetica"/>
          <w:color w:val="000000"/>
          <w:shd w:val="clear" w:color="auto" w:fill="FFFFFF"/>
        </w:rPr>
      </w:pPr>
      <w:r w:rsidRPr="00293B15">
        <w:rPr>
          <w:rFonts w:ascii="Theinhardt Light" w:hAnsi="Theinhardt Light" w:cs="Helvetica"/>
          <w:color w:val="000000"/>
          <w:shd w:val="clear" w:color="auto" w:fill="FFFFFF"/>
        </w:rPr>
        <w:t>Działalność Muzeum i wybrane projekty finansuje:</w:t>
      </w:r>
    </w:p>
    <w:p w:rsidR="003512CE" w:rsidRDefault="00293B15" w:rsidP="00C77CC3">
      <w:pPr>
        <w:rPr>
          <w:rFonts w:ascii="Theinhardt Light" w:hAnsi="Theinhardt Light" w:cs="Helvetica"/>
          <w:color w:val="000000"/>
          <w:shd w:val="clear" w:color="auto" w:fill="FFFFFF"/>
        </w:rPr>
      </w:pPr>
      <w:r>
        <w:rPr>
          <w:rFonts w:ascii="Theinhardt Light" w:hAnsi="Theinhardt Light" w:cs="Helvetica"/>
          <w:color w:val="000000"/>
          <w:shd w:val="clear" w:color="auto" w:fill="FFFFFF"/>
        </w:rPr>
        <w:t xml:space="preserve"> </w:t>
      </w:r>
    </w:p>
    <w:p w:rsidR="00293B15" w:rsidRDefault="00293B15" w:rsidP="00C77CC3">
      <w:pPr>
        <w:rPr>
          <w:rFonts w:ascii="Theinhardt Light" w:hAnsi="Theinhardt Light" w:cs="Helvetica"/>
          <w:color w:val="000000"/>
          <w:shd w:val="clear" w:color="auto" w:fill="FFFFFF"/>
        </w:rPr>
      </w:pPr>
      <w:r>
        <w:rPr>
          <w:rFonts w:ascii="Theinhardt Light" w:hAnsi="Theinhardt Light" w:cs="Helvetica"/>
          <w:color w:val="000000"/>
          <w:shd w:val="clear" w:color="auto" w:fill="FFFFFF"/>
        </w:rPr>
        <w:t xml:space="preserve">    </w:t>
      </w:r>
      <w:r w:rsidR="00D4747C" w:rsidRPr="00D4747C">
        <w:rPr>
          <w:rFonts w:ascii="Theinhardt Light" w:hAnsi="Theinhardt Light" w:cs="Helvetica"/>
          <w:noProof/>
          <w:color w:val="000000"/>
          <w:shd w:val="clear" w:color="auto" w:fill="FFFFFF"/>
          <w:lang w:eastAsia="pl-PL"/>
        </w:rPr>
        <w:drawing>
          <wp:inline distT="0" distB="0" distL="0" distR="0" wp14:anchorId="6835634D" wp14:editId="2D8D2EC6">
            <wp:extent cx="1194661" cy="70485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3080" cy="709817"/>
                    </a:xfrm>
                    <a:prstGeom prst="rect">
                      <a:avLst/>
                    </a:prstGeom>
                  </pic:spPr>
                </pic:pic>
              </a:graphicData>
            </a:graphic>
          </wp:inline>
        </w:drawing>
      </w:r>
    </w:p>
    <w:p w:rsidR="00D4747C" w:rsidRDefault="00D4747C" w:rsidP="00C77CC3">
      <w:pPr>
        <w:rPr>
          <w:rFonts w:ascii="Theinhardt Light" w:hAnsi="Theinhardt Light" w:cs="Helvetica"/>
          <w:color w:val="000000"/>
          <w:shd w:val="clear" w:color="auto" w:fill="FFFFFF"/>
        </w:rPr>
      </w:pPr>
    </w:p>
    <w:p w:rsidR="00D4747C" w:rsidRDefault="00D4747C" w:rsidP="00C77CC3">
      <w:pPr>
        <w:rPr>
          <w:rFonts w:ascii="Theinhardt Light" w:hAnsi="Theinhardt Light" w:cs="Helvetica"/>
          <w:color w:val="000000"/>
          <w:shd w:val="clear" w:color="auto" w:fill="FFFFFF"/>
        </w:rPr>
      </w:pPr>
      <w:r>
        <w:rPr>
          <w:rFonts w:ascii="Theinhardt Light" w:hAnsi="Theinhardt Light" w:cs="Helvetica"/>
          <w:color w:val="000000"/>
          <w:shd w:val="clear" w:color="auto" w:fill="FFFFFF"/>
        </w:rPr>
        <w:t>Partnerzy wystawy:</w:t>
      </w:r>
    </w:p>
    <w:p w:rsidR="00D4747C" w:rsidRDefault="00D4747C" w:rsidP="00C77CC3">
      <w:pPr>
        <w:rPr>
          <w:rFonts w:ascii="Theinhardt Light" w:hAnsi="Theinhardt Light" w:cs="Helvetica"/>
          <w:color w:val="000000"/>
          <w:shd w:val="clear" w:color="auto" w:fill="FFFFFF"/>
        </w:rPr>
      </w:pPr>
    </w:p>
    <w:p w:rsidR="00DD6ACD" w:rsidRDefault="00DD6ACD" w:rsidP="00C77CC3">
      <w:pPr>
        <w:rPr>
          <w:rFonts w:ascii="Theinhardt Light" w:hAnsi="Theinhardt Light" w:cs="Times New Roman"/>
        </w:rPr>
      </w:pPr>
      <w:r w:rsidRPr="00DD6ACD">
        <w:rPr>
          <w:rFonts w:ascii="Theinhardt Light" w:hAnsi="Theinhardt Light" w:cs="Times New Roman"/>
          <w:noProof/>
          <w:lang w:eastAsia="pl-PL"/>
        </w:rPr>
        <w:drawing>
          <wp:inline distT="0" distB="0" distL="0" distR="0" wp14:anchorId="5A052757" wp14:editId="48827964">
            <wp:extent cx="4762500" cy="583764"/>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8909" cy="598033"/>
                    </a:xfrm>
                    <a:prstGeom prst="rect">
                      <a:avLst/>
                    </a:prstGeom>
                  </pic:spPr>
                </pic:pic>
              </a:graphicData>
            </a:graphic>
          </wp:inline>
        </w:drawing>
      </w:r>
    </w:p>
    <w:p w:rsidR="00EB7A9A" w:rsidRDefault="00EB7A9A" w:rsidP="00C77CC3">
      <w:pPr>
        <w:rPr>
          <w:rFonts w:ascii="Theinhardt Light" w:hAnsi="Theinhardt Light" w:cs="Times New Roman"/>
        </w:rPr>
      </w:pPr>
    </w:p>
    <w:p w:rsidR="00D4747C" w:rsidRDefault="00D4747C" w:rsidP="00C77CC3">
      <w:pPr>
        <w:rPr>
          <w:rFonts w:ascii="Theinhardt Light" w:hAnsi="Theinhardt Light" w:cs="Times New Roman"/>
        </w:rPr>
      </w:pPr>
      <w:bookmarkStart w:id="0" w:name="_GoBack"/>
      <w:bookmarkEnd w:id="0"/>
      <w:r>
        <w:rPr>
          <w:rFonts w:ascii="Theinhardt Light" w:hAnsi="Theinhardt Light" w:cs="Times New Roman"/>
        </w:rPr>
        <w:lastRenderedPageBreak/>
        <w:t>Mecenas Muzeum i Kolekcji:</w:t>
      </w:r>
    </w:p>
    <w:p w:rsidR="00D4747C" w:rsidRDefault="00D4747C" w:rsidP="00C77CC3">
      <w:pPr>
        <w:rPr>
          <w:rFonts w:ascii="Theinhardt Light" w:hAnsi="Theinhardt Light" w:cs="Times New Roman"/>
        </w:rPr>
      </w:pPr>
    </w:p>
    <w:p w:rsidR="00D4747C" w:rsidRDefault="00D4747C" w:rsidP="00C77CC3">
      <w:pPr>
        <w:rPr>
          <w:rFonts w:ascii="Theinhardt Light" w:hAnsi="Theinhardt Light" w:cs="Times New Roman"/>
        </w:rPr>
      </w:pPr>
      <w:r w:rsidRPr="00D4747C">
        <w:rPr>
          <w:rFonts w:ascii="Theinhardt Light" w:hAnsi="Theinhardt Light" w:cs="Times New Roman"/>
          <w:noProof/>
          <w:lang w:eastAsia="pl-PL"/>
        </w:rPr>
        <w:drawing>
          <wp:inline distT="0" distB="0" distL="0" distR="0" wp14:anchorId="7C876115" wp14:editId="68D7B091">
            <wp:extent cx="1724266" cy="781159"/>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4266" cy="781159"/>
                    </a:xfrm>
                    <a:prstGeom prst="rect">
                      <a:avLst/>
                    </a:prstGeom>
                  </pic:spPr>
                </pic:pic>
              </a:graphicData>
            </a:graphic>
          </wp:inline>
        </w:drawing>
      </w:r>
    </w:p>
    <w:p w:rsidR="008C5B33" w:rsidRDefault="008C5B33" w:rsidP="00C77CC3">
      <w:pPr>
        <w:rPr>
          <w:rFonts w:ascii="Theinhardt Light" w:hAnsi="Theinhardt Light" w:cs="Times New Roman"/>
        </w:rPr>
      </w:pPr>
    </w:p>
    <w:p w:rsidR="00D4747C" w:rsidRDefault="008C5B33" w:rsidP="00C77CC3">
      <w:pPr>
        <w:rPr>
          <w:rFonts w:ascii="Theinhardt Light" w:hAnsi="Theinhardt Light" w:cs="Times New Roman"/>
        </w:rPr>
      </w:pPr>
      <w:r>
        <w:rPr>
          <w:rFonts w:ascii="Theinhardt Light" w:hAnsi="Theinhardt Light" w:cs="Times New Roman"/>
        </w:rPr>
        <w:t>Partner Strategiczny Muzeum:</w:t>
      </w:r>
    </w:p>
    <w:p w:rsidR="008C5B33" w:rsidRDefault="008C5B33" w:rsidP="00C77CC3">
      <w:pPr>
        <w:rPr>
          <w:rFonts w:ascii="Theinhardt Light" w:hAnsi="Theinhardt Light" w:cs="Times New Roman"/>
        </w:rPr>
      </w:pPr>
    </w:p>
    <w:p w:rsidR="008C5B33" w:rsidRDefault="008C5B33" w:rsidP="00C77CC3">
      <w:pPr>
        <w:rPr>
          <w:rFonts w:ascii="Theinhardt Light" w:hAnsi="Theinhardt Light" w:cs="Times New Roman"/>
        </w:rPr>
      </w:pPr>
      <w:r w:rsidRPr="008C5B33">
        <w:rPr>
          <w:rFonts w:ascii="Theinhardt Light" w:hAnsi="Theinhardt Light" w:cs="Times New Roman"/>
          <w:noProof/>
          <w:lang w:eastAsia="pl-PL"/>
        </w:rPr>
        <w:drawing>
          <wp:inline distT="0" distB="0" distL="0" distR="0" wp14:anchorId="3476302E" wp14:editId="6A90EF1B">
            <wp:extent cx="1365885" cy="738781"/>
            <wp:effectExtent l="0" t="0" r="571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70028" cy="741022"/>
                    </a:xfrm>
                    <a:prstGeom prst="rect">
                      <a:avLst/>
                    </a:prstGeom>
                  </pic:spPr>
                </pic:pic>
              </a:graphicData>
            </a:graphic>
          </wp:inline>
        </w:drawing>
      </w:r>
      <w:r w:rsidR="00EB7A9A">
        <w:rPr>
          <w:rFonts w:ascii="Theinhardt Light" w:hAnsi="Theinhardt Light" w:cs="Times New Roman"/>
        </w:rPr>
        <w:pict>
          <v:shape id="_x0000_i1027" type="#_x0000_t75" style="width:87.75pt;height:65.25pt">
            <v:imagedata r:id="rId16" o:title="samo A"/>
          </v:shape>
        </w:pict>
      </w:r>
    </w:p>
    <w:p w:rsidR="008C5B33" w:rsidRDefault="008C5B33" w:rsidP="00C77CC3">
      <w:pPr>
        <w:rPr>
          <w:rFonts w:ascii="Theinhardt Light" w:hAnsi="Theinhardt Light" w:cs="Times New Roman"/>
        </w:rPr>
      </w:pPr>
    </w:p>
    <w:p w:rsidR="008C5B33" w:rsidRDefault="008C5B33" w:rsidP="00C77CC3">
      <w:pPr>
        <w:rPr>
          <w:rFonts w:ascii="Theinhardt Light" w:hAnsi="Theinhardt Light" w:cs="Times New Roman"/>
        </w:rPr>
      </w:pPr>
      <w:r>
        <w:rPr>
          <w:rFonts w:ascii="Theinhardt Light" w:hAnsi="Theinhardt Light" w:cs="Times New Roman"/>
        </w:rPr>
        <w:t>Partnerzy medialni:</w:t>
      </w:r>
    </w:p>
    <w:p w:rsidR="008C5B33" w:rsidRDefault="008C5B33" w:rsidP="00C77CC3">
      <w:pPr>
        <w:rPr>
          <w:rFonts w:ascii="Theinhardt Light" w:hAnsi="Theinhardt Light" w:cs="Times New Roman"/>
        </w:rPr>
      </w:pPr>
    </w:p>
    <w:p w:rsidR="008C5B33" w:rsidRDefault="00FD080C" w:rsidP="00C77CC3">
      <w:pPr>
        <w:rPr>
          <w:rFonts w:ascii="Theinhardt Light" w:hAnsi="Theinhardt Light" w:cs="Times New Roman"/>
        </w:rPr>
      </w:pPr>
      <w:r w:rsidRPr="00FD080C">
        <w:rPr>
          <w:rFonts w:ascii="Theinhardt Light" w:hAnsi="Theinhardt Light" w:cs="Times New Roman"/>
          <w:noProof/>
          <w:lang w:eastAsia="pl-PL"/>
        </w:rPr>
        <w:drawing>
          <wp:inline distT="0" distB="0" distL="0" distR="0" wp14:anchorId="73A01D98" wp14:editId="740F4FEF">
            <wp:extent cx="6389877" cy="6191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035" cy="620497"/>
                    </a:xfrm>
                    <a:prstGeom prst="rect">
                      <a:avLst/>
                    </a:prstGeom>
                  </pic:spPr>
                </pic:pic>
              </a:graphicData>
            </a:graphic>
          </wp:inline>
        </w:drawing>
      </w:r>
    </w:p>
    <w:p w:rsidR="00BC7595" w:rsidRPr="003E27A7" w:rsidRDefault="00BC7595">
      <w:pPr>
        <w:rPr>
          <w:rFonts w:ascii="Theinhardt Light" w:hAnsi="Theinhardt Light"/>
        </w:rPr>
      </w:pPr>
    </w:p>
    <w:sectPr w:rsidR="00BC7595" w:rsidRPr="003E27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65" w:rsidRDefault="005E0265" w:rsidP="00DD6ACD">
      <w:r>
        <w:separator/>
      </w:r>
    </w:p>
  </w:endnote>
  <w:endnote w:type="continuationSeparator" w:id="0">
    <w:p w:rsidR="005E0265" w:rsidRDefault="005E0265" w:rsidP="00DD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Arial">
    <w:panose1 w:val="020B0604020202020204"/>
    <w:charset w:val="EE"/>
    <w:family w:val="swiss"/>
    <w:pitch w:val="variable"/>
    <w:sig w:usb0="E0002EFF" w:usb1="C000785B" w:usb2="00000009" w:usb3="00000000" w:csb0="000001FF" w:csb1="00000000"/>
  </w:font>
  <w:font w:name="Helvetica">
    <w:panose1 w:val="020B060402020203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65" w:rsidRDefault="005E0265" w:rsidP="00DD6ACD">
      <w:r>
        <w:separator/>
      </w:r>
    </w:p>
  </w:footnote>
  <w:footnote w:type="continuationSeparator" w:id="0">
    <w:p w:rsidR="005E0265" w:rsidRDefault="005E0265" w:rsidP="00DD6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C3"/>
    <w:rsid w:val="00073863"/>
    <w:rsid w:val="00074344"/>
    <w:rsid w:val="001648EB"/>
    <w:rsid w:val="00293B15"/>
    <w:rsid w:val="00302BC5"/>
    <w:rsid w:val="003512CE"/>
    <w:rsid w:val="003E27A7"/>
    <w:rsid w:val="00412132"/>
    <w:rsid w:val="00491C68"/>
    <w:rsid w:val="005E0265"/>
    <w:rsid w:val="005E61E5"/>
    <w:rsid w:val="005E797D"/>
    <w:rsid w:val="007838F2"/>
    <w:rsid w:val="007A186F"/>
    <w:rsid w:val="008C5B33"/>
    <w:rsid w:val="008D329F"/>
    <w:rsid w:val="0096175A"/>
    <w:rsid w:val="009863F1"/>
    <w:rsid w:val="00BC7595"/>
    <w:rsid w:val="00C77CC3"/>
    <w:rsid w:val="00D4747C"/>
    <w:rsid w:val="00DD6ACD"/>
    <w:rsid w:val="00EB7A9A"/>
    <w:rsid w:val="00ED3898"/>
    <w:rsid w:val="00FD0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DF5"/>
  <w15:chartTrackingRefBased/>
  <w15:docId w15:val="{F162D83A-103C-4789-B66D-C7107CE5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CC3"/>
    <w:pPr>
      <w:spacing w:after="0" w:line="240" w:lineRule="auto"/>
    </w:pPr>
    <w:rPr>
      <w:sz w:val="24"/>
      <w:szCs w:val="24"/>
    </w:rPr>
  </w:style>
  <w:style w:type="paragraph" w:styleId="Nagwek3">
    <w:name w:val="heading 3"/>
    <w:basedOn w:val="Normalny"/>
    <w:link w:val="Nagwek3Znak"/>
    <w:uiPriority w:val="9"/>
    <w:qFormat/>
    <w:rsid w:val="00DD6ACD"/>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7CC3"/>
    <w:rPr>
      <w:color w:val="0563C1" w:themeColor="hyperlink"/>
      <w:u w:val="single"/>
    </w:rPr>
  </w:style>
  <w:style w:type="table" w:styleId="Tabela-Siatka">
    <w:name w:val="Table Grid"/>
    <w:basedOn w:val="Standardowy"/>
    <w:uiPriority w:val="39"/>
    <w:rsid w:val="003E2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D6AC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D6ACD"/>
    <w:pPr>
      <w:spacing w:before="100" w:beforeAutospacing="1" w:after="100" w:afterAutospacing="1"/>
    </w:pPr>
    <w:rPr>
      <w:rFonts w:ascii="Times New Roman" w:eastAsia="Times New Roman" w:hAnsi="Times New Roman" w:cs="Times New Roman"/>
      <w:lang w:eastAsia="pl-PL"/>
    </w:rPr>
  </w:style>
  <w:style w:type="paragraph" w:styleId="Tekstprzypisudolnego">
    <w:name w:val="footnote text"/>
    <w:basedOn w:val="Normalny"/>
    <w:link w:val="TekstprzypisudolnegoZnak"/>
    <w:uiPriority w:val="99"/>
    <w:semiHidden/>
    <w:unhideWhenUsed/>
    <w:rsid w:val="00EB7A9A"/>
    <w:rPr>
      <w:sz w:val="20"/>
      <w:szCs w:val="20"/>
    </w:rPr>
  </w:style>
  <w:style w:type="character" w:customStyle="1" w:styleId="TekstprzypisudolnegoZnak">
    <w:name w:val="Tekst przypisu dolnego Znak"/>
    <w:basedOn w:val="Domylnaczcionkaakapitu"/>
    <w:link w:val="Tekstprzypisudolnego"/>
    <w:uiPriority w:val="99"/>
    <w:semiHidden/>
    <w:rsid w:val="00EB7A9A"/>
    <w:rPr>
      <w:sz w:val="20"/>
      <w:szCs w:val="20"/>
    </w:rPr>
  </w:style>
  <w:style w:type="character" w:styleId="Odwoanieprzypisudolnego">
    <w:name w:val="footnote reference"/>
    <w:basedOn w:val="Domylnaczcionkaakapitu"/>
    <w:uiPriority w:val="99"/>
    <w:semiHidden/>
    <w:unhideWhenUsed/>
    <w:rsid w:val="00EB7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536">
      <w:bodyDiv w:val="1"/>
      <w:marLeft w:val="0"/>
      <w:marRight w:val="0"/>
      <w:marTop w:val="0"/>
      <w:marBottom w:val="0"/>
      <w:divBdr>
        <w:top w:val="none" w:sz="0" w:space="0" w:color="auto"/>
        <w:left w:val="none" w:sz="0" w:space="0" w:color="auto"/>
        <w:bottom w:val="none" w:sz="0" w:space="0" w:color="auto"/>
        <w:right w:val="none" w:sz="0" w:space="0" w:color="auto"/>
      </w:divBdr>
    </w:div>
    <w:div w:id="1197427543">
      <w:bodyDiv w:val="1"/>
      <w:marLeft w:val="0"/>
      <w:marRight w:val="0"/>
      <w:marTop w:val="0"/>
      <w:marBottom w:val="0"/>
      <w:divBdr>
        <w:top w:val="none" w:sz="0" w:space="0" w:color="auto"/>
        <w:left w:val="none" w:sz="0" w:space="0" w:color="auto"/>
        <w:bottom w:val="none" w:sz="0" w:space="0" w:color="auto"/>
        <w:right w:val="none" w:sz="0" w:space="0" w:color="auto"/>
      </w:divBdr>
    </w:div>
    <w:div w:id="1979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sa.artmuseum.pl/?l=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asa@artmuseum.pl"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s://wwb11.artmuseum.pl/p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artmuseum.pl/pl" TargetMode="Externa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1477</Words>
  <Characters>8863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Iga Winczakiewicz</cp:lastModifiedBy>
  <cp:revision>13</cp:revision>
  <dcterms:created xsi:type="dcterms:W3CDTF">2020-09-16T20:45:00Z</dcterms:created>
  <dcterms:modified xsi:type="dcterms:W3CDTF">2020-10-09T12:24:00Z</dcterms:modified>
</cp:coreProperties>
</file>