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9356" w:type="dxa"/>
        <w:tblInd w:w="-142" w:type="dxa"/>
        <w:tblLook w:val="04A0" w:firstRow="1" w:lastRow="0" w:firstColumn="1" w:lastColumn="0" w:noHBand="0" w:noVBand="1"/>
      </w:tblPr>
      <w:tblGrid>
        <w:gridCol w:w="5098"/>
        <w:gridCol w:w="4258"/>
      </w:tblGrid>
      <w:tr w:rsidR="00290C4C" w:rsidRPr="00A12271" w14:paraId="252FB37B" w14:textId="77777777" w:rsidTr="00A12271">
        <w:trPr>
          <w:trHeight w:val="155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1C2E3D" w14:textId="77777777" w:rsidR="00A12271" w:rsidRDefault="00A12271" w:rsidP="00290C4C">
            <w:pPr>
              <w:rPr>
                <w:rFonts w:ascii="Theinhardt Light" w:hAnsi="Theinhardt Light"/>
                <w:b/>
              </w:rPr>
            </w:pPr>
          </w:p>
          <w:p w14:paraId="26487E2E" w14:textId="77777777" w:rsidR="00EC0974" w:rsidRDefault="00EC0974" w:rsidP="00EC0974">
            <w:pPr>
              <w:rPr>
                <w:rFonts w:ascii="Theinhardt Light" w:hAnsi="Theinhardt Light"/>
                <w:b/>
                <w:sz w:val="32"/>
              </w:rPr>
            </w:pPr>
            <w:r>
              <w:rPr>
                <w:rFonts w:ascii="Theinhardt Light" w:hAnsi="Theinhardt Light"/>
                <w:b/>
                <w:sz w:val="32"/>
              </w:rPr>
              <w:t>PLAC DEFILAD</w:t>
            </w:r>
            <w:r w:rsidRPr="00A12271">
              <w:rPr>
                <w:rFonts w:ascii="Theinhardt Light" w:hAnsi="Theinhardt Light"/>
                <w:b/>
                <w:sz w:val="32"/>
              </w:rPr>
              <w:t xml:space="preserve">: </w:t>
            </w:r>
          </w:p>
          <w:p w14:paraId="461D6AD9" w14:textId="77777777" w:rsidR="00EC0974" w:rsidRPr="00A12271" w:rsidRDefault="00EC0974" w:rsidP="00EC0974">
            <w:pPr>
              <w:rPr>
                <w:rFonts w:ascii="Theinhardt Light" w:hAnsi="Theinhardt Light"/>
                <w:b/>
                <w:sz w:val="32"/>
              </w:rPr>
            </w:pPr>
            <w:r>
              <w:rPr>
                <w:rFonts w:ascii="Theinhardt Light" w:hAnsi="Theinhardt Light"/>
                <w:b/>
                <w:sz w:val="32"/>
              </w:rPr>
              <w:t>KROK DO PRZODU</w:t>
            </w:r>
          </w:p>
          <w:p w14:paraId="57B6F3EA" w14:textId="77777777" w:rsidR="00A12271" w:rsidRPr="00A12271" w:rsidRDefault="00A12271" w:rsidP="00290C4C">
            <w:pPr>
              <w:rPr>
                <w:rFonts w:ascii="Theinhardt Light" w:hAnsi="Theinhardt Light"/>
                <w:b/>
                <w:sz w:val="32"/>
              </w:rPr>
            </w:pPr>
          </w:p>
          <w:p w14:paraId="0A38A5A4" w14:textId="49004399" w:rsidR="00A12271" w:rsidRDefault="00EC0974" w:rsidP="00290C4C">
            <w:pPr>
              <w:rPr>
                <w:rFonts w:ascii="Theinhardt Light" w:hAnsi="Theinhardt Light"/>
                <w:b/>
                <w:sz w:val="32"/>
              </w:rPr>
            </w:pPr>
            <w:r>
              <w:rPr>
                <w:rFonts w:ascii="Theinhardt Light" w:hAnsi="Theinhardt Light"/>
                <w:b/>
                <w:sz w:val="32"/>
              </w:rPr>
              <w:t>9. edycja</w:t>
            </w:r>
            <w:r w:rsidR="00290C4C" w:rsidRPr="00A12271">
              <w:rPr>
                <w:rFonts w:ascii="Theinhardt Light" w:hAnsi="Theinhardt Light"/>
                <w:b/>
                <w:sz w:val="32"/>
              </w:rPr>
              <w:t xml:space="preserve"> festiwalu </w:t>
            </w:r>
          </w:p>
          <w:p w14:paraId="35E3A6C1" w14:textId="1526BD4B" w:rsidR="00290C4C" w:rsidRPr="00A12271" w:rsidRDefault="00290C4C" w:rsidP="00290C4C">
            <w:pPr>
              <w:rPr>
                <w:rFonts w:ascii="Theinhardt Light" w:hAnsi="Theinhardt Light"/>
                <w:b/>
                <w:sz w:val="32"/>
              </w:rPr>
            </w:pPr>
            <w:r w:rsidRPr="00A12271">
              <w:rPr>
                <w:rFonts w:ascii="Theinhardt Light" w:hAnsi="Theinhardt Light"/>
                <w:b/>
                <w:sz w:val="32"/>
              </w:rPr>
              <w:t>WARSZAWA W BUDOWIE</w:t>
            </w:r>
          </w:p>
          <w:p w14:paraId="266B34FE" w14:textId="77777777" w:rsidR="00290C4C" w:rsidRPr="00A12271" w:rsidRDefault="00290C4C" w:rsidP="00392B27">
            <w:pPr>
              <w:rPr>
                <w:rFonts w:ascii="Theinhardt Light" w:hAnsi="Theinhardt Light"/>
                <w:b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79DCC2F2" w14:textId="26E36C70" w:rsidR="00290C4C" w:rsidRPr="00A12271" w:rsidRDefault="00930F7B" w:rsidP="00A12271">
            <w:pPr>
              <w:rPr>
                <w:rFonts w:ascii="Theinhardt Light" w:hAnsi="Theinhardt Light"/>
                <w:b/>
              </w:rPr>
            </w:pPr>
            <w:r>
              <w:rPr>
                <w:rFonts w:ascii="Theinhardt Light" w:hAnsi="Theinhardt Light"/>
                <w:b/>
              </w:rPr>
              <w:pict w14:anchorId="55087D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pt;height:130pt">
                  <v:imagedata r:id="rId5" o:title="LogoWWB — mini"/>
                </v:shape>
              </w:pict>
            </w:r>
          </w:p>
        </w:tc>
      </w:tr>
    </w:tbl>
    <w:p w14:paraId="7DE60B11" w14:textId="77777777" w:rsidR="00290C4C" w:rsidRPr="00A12271" w:rsidRDefault="00290C4C" w:rsidP="00392B27">
      <w:pPr>
        <w:rPr>
          <w:rFonts w:ascii="Theinhardt Light" w:hAnsi="Theinhardt Light"/>
          <w:b/>
        </w:rPr>
      </w:pPr>
    </w:p>
    <w:p w14:paraId="51EE1FF2" w14:textId="77777777" w:rsidR="00D379A7" w:rsidRPr="00D379A7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</w:pPr>
      <w:r w:rsidRPr="00D379A7"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  <w:t>Plac Centralny 1:1</w:t>
      </w:r>
    </w:p>
    <w:p w14:paraId="374C6FE4" w14:textId="77777777" w:rsidR="00D379A7" w:rsidRPr="00D379A7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</w:pPr>
      <w:r w:rsidRPr="00D379A7"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  <w:t>Pierwsza w Polsce wielkoskalowa instalacja typu „</w:t>
      </w:r>
      <w:proofErr w:type="spellStart"/>
      <w:r w:rsidRPr="00D379A7"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  <w:t>baugespann</w:t>
      </w:r>
      <w:proofErr w:type="spellEnd"/>
      <w:r w:rsidRPr="00D379A7"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  <w:t>”</w:t>
      </w:r>
    </w:p>
    <w:p w14:paraId="6569192A" w14:textId="77777777" w:rsidR="00D379A7" w:rsidRPr="00D379A7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8"/>
          <w:szCs w:val="28"/>
          <w:lang w:eastAsia="pl-PL"/>
        </w:rPr>
      </w:pPr>
    </w:p>
    <w:p w14:paraId="0A6D43AA" w14:textId="27548CC7" w:rsidR="00D379A7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</w:pPr>
      <w:r w:rsidRPr="00D379A7"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  <w:t>Na dzień przed otwarciem wystawy głównej festiwalu Warszawa w Budowie, na placu Defilad stanie 8 stalowych tyczek, każda o wysokości 26 metrów, które wyznaczą zarys pierzei przyszłego placu Centralnego. Ich montaż rozpocznie się już 3 października.</w:t>
      </w:r>
    </w:p>
    <w:p w14:paraId="71A97BEA" w14:textId="77777777" w:rsidR="00D379A7" w:rsidRPr="00D379A7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</w:pPr>
    </w:p>
    <w:p w14:paraId="1CC98F53" w14:textId="77777777" w:rsidR="00D379A7" w:rsidRPr="00D379A7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W skali rzeczywistej zaaranżowane zostaną fasady gmachów teatru TR Warszawa, Muzeum Sztuki Nowoczesnej oraz planowanej zabudowy po południowej stronie placu. Razem z aranżacją plastyczną płyty placu (interwencja „Place w Placu”) oraz narożnym pawilonem „Stanowisko Plac”, tyczki stanowić będą tymczasową „makietę" przestrzeni przyszłego placu. To pierwszy raz, gdy w Warszawie i w Polsce stosowane jest takie rozwiązanie – dzięki niemu warszawiacy będą mogli w naturze zobaczyć skalę przyszłego placu. A to pozwoli na lepsze przygotowanie wszystkich zainteresowanych udziałem w konsultacjach społecznych, towarzyszących konkursowi na projekt samego placu. Jeśli tylko to rozwiązanie zda egzamin, będziemy mogli spodziewać się podobnych interwencji przestrzennych przy okazji kolejnych ważnych miejskich inwestycji.</w:t>
      </w:r>
    </w:p>
    <w:p w14:paraId="7B8C3053" w14:textId="77777777" w:rsidR="00D379A7" w:rsidRPr="00D379A7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„</w:t>
      </w:r>
      <w:proofErr w:type="spellStart"/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Baugespann</w:t>
      </w:r>
      <w:proofErr w:type="spellEnd"/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” – bo tak w oryginale nazywa się to narzędzie planistyczne – wykorzystywane jest w Szwajcarii w procesie wydawania pozwoleń na budowę. W trakcie procedury inwestor zobligowany jest do wybudowania tymczasowej, ażurowej struktury przestrzennej odpowiadającej planowanej budowli lub przebudowie: jej lokalizacji, rozmiarom, skali, formie. Instalacja jest obecna i widoczna przez około miesiąc - w tym czasie każdy obywatel może naocznie przekonać się jak planowana inwestycja wpłynie na krajobraz gminy i zgłosić swoje uwagi.</w:t>
      </w:r>
    </w:p>
    <w:p w14:paraId="4C26E3CD" w14:textId="77777777" w:rsidR="00D379A7" w:rsidRPr="00D379A7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Prawo planistyczne wymusza „makietowanie" inwestycji zarówno o małej skali, takich jak nadbudowy, zmiana kształtu dachu czy dodanie balkonu, jak też inwestycji o znacznej skali - wielorodzinnych obiektów mieszkaniowych lub budynków biurowych. Zależnie od skali, „</w:t>
      </w:r>
      <w:proofErr w:type="spellStart"/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baugespann</w:t>
      </w:r>
      <w:proofErr w:type="spellEnd"/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 xml:space="preserve">” może być zbudowany z drewnianych belek, stalowych rur, czy bardziej złożonych struktur prętowo-cięgnowych. Szwajcaria jest jedynym krajem, w którym budowanie takich konstrukcji jest obligatoryjne. </w:t>
      </w:r>
    </w:p>
    <w:p w14:paraId="0AFE0EDC" w14:textId="77777777" w:rsidR="00D379A7" w:rsidRPr="00D379A7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Pomimo rozwijającego się dynamicznie nurtu wykorzystywania w planowaniu miast technologii informatycznych i narzędzi rozszerzonej rzeczywistości (takich jak na przykład aplikacje na smartfony, które „wklejają" planowany obiekt w widok krajobrazu, wymagają jednak od użytkowników dysponowania odpowiednim sprzętem i pobrania właściwego oprogramowania), tradycyjna metoda budowania makiet typu „</w:t>
      </w:r>
      <w:proofErr w:type="spellStart"/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baugespann</w:t>
      </w:r>
      <w:proofErr w:type="spellEnd"/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” pozostaje bezkonkurencyjna, ponieważ kształtuje realny, materialny efekt w przestrzeni, czytelny i dostępny dla wszystkich.</w:t>
      </w:r>
    </w:p>
    <w:p w14:paraId="1F916847" w14:textId="4F8CCA2A" w:rsidR="00A70016" w:rsidRDefault="00D379A7" w:rsidP="00D379A7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Instalacja towarzyszy wystawie głównej 9. edycji festiwalu WARSZAWA W BUDOWIE „Plac Defilad: krok do przodu" w Galerii Studio (Pałac Kultury i Nauki, plac Defilad 1). Więcej informacji na stronie festiwalu: www.warszawawbudowie.pl.</w:t>
      </w:r>
    </w:p>
    <w:p w14:paraId="41FA1D77" w14:textId="77777777" w:rsidR="00D379A7" w:rsidRDefault="00D379A7" w:rsidP="00A70016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</w:pPr>
    </w:p>
    <w:p w14:paraId="25DB7B51" w14:textId="0E03C71B" w:rsidR="00A70016" w:rsidRDefault="00A70016" w:rsidP="00A70016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F5008"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  <w:t xml:space="preserve">Strona internetowa festiwalu Warszawa w Budowie: </w:t>
      </w:r>
      <w:r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warszawawbudowie.pl</w:t>
      </w:r>
    </w:p>
    <w:p w14:paraId="42E8F9BF" w14:textId="1102B2A6" w:rsidR="00A70016" w:rsidRDefault="00A70016" w:rsidP="00A70016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F5008"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  <w:t>Materiały prasowe</w:t>
      </w:r>
      <w:r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: prasa.artmuseum.pl</w:t>
      </w:r>
    </w:p>
    <w:p w14:paraId="2F8C4653" w14:textId="660DDDEE" w:rsidR="00A70016" w:rsidRPr="00EC0974" w:rsidRDefault="00A70016" w:rsidP="00A70016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F5008"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  <w:t xml:space="preserve">Kontakt dla </w:t>
      </w:r>
      <w:r w:rsidR="00DF5008"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  <w:t>prasy</w:t>
      </w:r>
      <w:r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:</w:t>
      </w:r>
      <w:r w:rsid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 xml:space="preserve"> </w:t>
      </w:r>
      <w:hyperlink r:id="rId6" w:history="1">
        <w:r w:rsidR="00D379A7" w:rsidRPr="007D3A55">
          <w:rPr>
            <w:rStyle w:val="Hipercze"/>
            <w:rFonts w:ascii="Theinhardt Light" w:eastAsia="Times New Roman" w:hAnsi="Theinhardt Light" w:cs="Times New Roman"/>
            <w:sz w:val="22"/>
            <w:szCs w:val="22"/>
            <w:lang w:eastAsia="pl-PL"/>
          </w:rPr>
          <w:t>anna.tryc@artmuseum.pl,607926000,iga.winczakiewicz@artmuseum.pl</w:t>
        </w:r>
      </w:hyperlink>
      <w:r w:rsidR="00D379A7"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 xml:space="preserve">, </w:t>
      </w:r>
      <w:r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prasa@artmuseum.pl</w:t>
      </w:r>
    </w:p>
    <w:p w14:paraId="22B63B58" w14:textId="77777777" w:rsidR="00DF5008" w:rsidRDefault="00DF5008" w:rsidP="004A0FD0">
      <w:pPr>
        <w:jc w:val="both"/>
        <w:rPr>
          <w:rFonts w:ascii="Theinhardt Light" w:hAnsi="Theinhardt Light"/>
          <w:sz w:val="20"/>
          <w:szCs w:val="20"/>
        </w:rPr>
      </w:pPr>
    </w:p>
    <w:p w14:paraId="3989F5B6" w14:textId="77777777" w:rsidR="00930F7B" w:rsidRPr="0074663B" w:rsidRDefault="00930F7B" w:rsidP="00930F7B">
      <w:pPr>
        <w:jc w:val="both"/>
        <w:rPr>
          <w:rFonts w:ascii="Theinhardt Light" w:hAnsi="Theinhardt Light"/>
          <w:b/>
          <w:sz w:val="22"/>
          <w:szCs w:val="20"/>
        </w:rPr>
      </w:pPr>
      <w:r w:rsidRPr="0074663B">
        <w:rPr>
          <w:rFonts w:ascii="Theinhardt Light" w:hAnsi="Theinhardt Light"/>
          <w:b/>
          <w:szCs w:val="20"/>
        </w:rPr>
        <w:lastRenderedPageBreak/>
        <w:t>KOLOFON FESTIWALU WARSZAWA W BUDOWIE 9</w:t>
      </w:r>
    </w:p>
    <w:p w14:paraId="7CA40F58" w14:textId="77777777" w:rsidR="00930F7B" w:rsidRPr="0074663B" w:rsidRDefault="00930F7B" w:rsidP="00930F7B">
      <w:pPr>
        <w:jc w:val="both"/>
        <w:rPr>
          <w:rFonts w:ascii="Theinhardt Light" w:hAnsi="Theinhardt Light"/>
          <w:sz w:val="20"/>
          <w:szCs w:val="20"/>
        </w:rPr>
      </w:pPr>
    </w:p>
    <w:p w14:paraId="3CEDA711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Kuratorzy</w:t>
      </w:r>
    </w:p>
    <w:p w14:paraId="042F1A03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Muzeum Sztuki Nowoczesnej w Warszawie: Tomasz Fudala, Szymon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Maliborski</w:t>
      </w:r>
      <w:proofErr w:type="spellEnd"/>
    </w:p>
    <w:p w14:paraId="1E05889C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>
        <w:rPr>
          <w:rFonts w:ascii="Theinhardt Light" w:hAnsi="Theinhardt Light" w:cs="Arial"/>
          <w:sz w:val="20"/>
          <w:szCs w:val="20"/>
        </w:rPr>
        <w:t>Galeria Studio: Dorota Jarecka, Barbara Piwowarska</w:t>
      </w:r>
    </w:p>
    <w:p w14:paraId="55567FE5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72754902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i/>
          <w:color w:val="AEAAAA"/>
          <w:sz w:val="20"/>
          <w:szCs w:val="20"/>
          <w:u w:val="single"/>
          <w:lang w:val="en-US"/>
        </w:rPr>
      </w:pP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Stanowisko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Plac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Centralny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,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Plac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1:1, Place w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Placu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-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Instalacja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architektoniczna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i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interwencja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kolorystyczna</w:t>
      </w:r>
      <w:proofErr w:type="spellEnd"/>
    </w:p>
    <w:p w14:paraId="187EC33F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Autorzy i projektanci: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BudCud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- </w:t>
      </w:r>
      <w:r w:rsidRPr="0074663B">
        <w:rPr>
          <w:rFonts w:ascii="Theinhardt Light" w:hAnsi="Theinhardt Light" w:cs="Arial"/>
          <w:color w:val="262626"/>
          <w:sz w:val="20"/>
          <w:szCs w:val="20"/>
        </w:rPr>
        <w:t>Mateusz Adamczyk, Agata Woźniczka</w:t>
      </w:r>
    </w:p>
    <w:p w14:paraId="5215028E" w14:textId="77777777" w:rsidR="00930F7B" w:rsidRPr="0074663B" w:rsidRDefault="00930F7B" w:rsidP="00930F7B">
      <w:pPr>
        <w:rPr>
          <w:rFonts w:ascii="Theinhardt Light" w:eastAsia="Times New Roman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color w:val="262626"/>
          <w:sz w:val="20"/>
          <w:szCs w:val="20"/>
        </w:rPr>
        <w:t xml:space="preserve">współpraca: </w:t>
      </w:r>
      <w:r w:rsidRPr="0074663B">
        <w:rPr>
          <w:rFonts w:ascii="Theinhardt Light" w:eastAsia="Times New Roman" w:hAnsi="Theinhardt Light" w:cs="Arial"/>
          <w:sz w:val="20"/>
          <w:szCs w:val="20"/>
        </w:rPr>
        <w:t xml:space="preserve">Joanna Ryś, Aleksandra Krupa, Anna </w:t>
      </w:r>
      <w:proofErr w:type="spellStart"/>
      <w:r w:rsidRPr="0074663B">
        <w:rPr>
          <w:rFonts w:ascii="Theinhardt Light" w:eastAsia="Times New Roman" w:hAnsi="Theinhardt Light" w:cs="Arial"/>
          <w:sz w:val="20"/>
          <w:szCs w:val="20"/>
        </w:rPr>
        <w:t>Eckes</w:t>
      </w:r>
      <w:proofErr w:type="spellEnd"/>
      <w:r w:rsidRPr="0074663B">
        <w:rPr>
          <w:rFonts w:ascii="Theinhardt Light" w:eastAsia="Times New Roman" w:hAnsi="Theinhardt Light" w:cs="Arial"/>
          <w:sz w:val="20"/>
          <w:szCs w:val="20"/>
        </w:rPr>
        <w:t>, Lea Moreau</w:t>
      </w:r>
    </w:p>
    <w:p w14:paraId="0B0FE40C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</w:rPr>
      </w:pPr>
    </w:p>
    <w:p w14:paraId="7BAC4765" w14:textId="77777777" w:rsidR="00930F7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Produkcja</w:t>
      </w:r>
    </w:p>
    <w:p w14:paraId="1B3BDFE2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color w:val="AEAAAA"/>
          <w:sz w:val="20"/>
          <w:szCs w:val="20"/>
          <w:u w:val="single"/>
        </w:rPr>
      </w:pPr>
      <w:r>
        <w:rPr>
          <w:rFonts w:ascii="Theinhardt Light" w:hAnsi="Theinhardt Light" w:cs="Arial"/>
          <w:b/>
          <w:bCs/>
          <w:sz w:val="20"/>
          <w:szCs w:val="20"/>
          <w:u w:val="single"/>
        </w:rPr>
        <w:t xml:space="preserve">Muzeum Sztuki Nowoczesnej w Warszawie: Aleksandra </w:t>
      </w:r>
      <w:proofErr w:type="spellStart"/>
      <w:r>
        <w:rPr>
          <w:rFonts w:ascii="Theinhardt Light" w:hAnsi="Theinhardt Light" w:cs="Arial"/>
          <w:b/>
          <w:bCs/>
          <w:sz w:val="20"/>
          <w:szCs w:val="20"/>
          <w:u w:val="single"/>
        </w:rPr>
        <w:t>Nasiorowska</w:t>
      </w:r>
      <w:proofErr w:type="spellEnd"/>
    </w:p>
    <w:p w14:paraId="6308B40C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Muzeum Warszawy: Klementyna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Świeżewska</w:t>
      </w:r>
      <w:proofErr w:type="spellEnd"/>
    </w:p>
    <w:p w14:paraId="5FF00D1E" w14:textId="77777777" w:rsidR="00930F7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współpraca: Barbara Domaradzka, Julia Kern-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Protassewicz</w:t>
      </w:r>
      <w:proofErr w:type="spellEnd"/>
    </w:p>
    <w:p w14:paraId="17343329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>
        <w:rPr>
          <w:rFonts w:ascii="Theinhardt Light" w:hAnsi="Theinhardt Light" w:cs="Arial"/>
          <w:sz w:val="20"/>
          <w:szCs w:val="20"/>
        </w:rPr>
        <w:t>Galeria Studio, współpraca: Igor Sekuła</w:t>
      </w:r>
    </w:p>
    <w:p w14:paraId="489B57A7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0A7E7E82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color w:val="AEAAAA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Menedżer projektu</w:t>
      </w:r>
    </w:p>
    <w:p w14:paraId="31C7F6BA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eastAsia="MS Mincho" w:hAnsi="Theinhardt Light" w:cs="Arial"/>
          <w:sz w:val="20"/>
          <w:szCs w:val="20"/>
        </w:rPr>
      </w:pPr>
      <w:r w:rsidRPr="0074663B">
        <w:rPr>
          <w:rFonts w:ascii="Theinhardt Light" w:eastAsia="MS Mincho" w:hAnsi="Theinhardt Light" w:cs="Arial"/>
          <w:sz w:val="20"/>
          <w:szCs w:val="20"/>
        </w:rPr>
        <w:t>Muzeum Warszawy: Julia Kern</w:t>
      </w:r>
      <w:r w:rsidRPr="0074663B">
        <w:rPr>
          <w:rFonts w:ascii="Theinhardt Light" w:hAnsi="Theinhardt Light" w:cs="Arial"/>
          <w:sz w:val="20"/>
          <w:szCs w:val="20"/>
        </w:rPr>
        <w:t>-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Protassewicz</w:t>
      </w:r>
      <w:proofErr w:type="spellEnd"/>
    </w:p>
    <w:p w14:paraId="5F510B92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eastAsia="MS Mincho" w:hAnsi="Theinhardt Light" w:cs="Arial"/>
          <w:sz w:val="20"/>
          <w:szCs w:val="20"/>
        </w:rPr>
      </w:pPr>
      <w:r w:rsidRPr="0074663B">
        <w:rPr>
          <w:rFonts w:ascii="Theinhardt Light" w:eastAsia="MS Mincho" w:hAnsi="Theinhardt Light" w:cs="Arial"/>
          <w:sz w:val="20"/>
          <w:szCs w:val="20"/>
        </w:rPr>
        <w:t>Muzeum Sztuki Nowoczesnej w Warszawie: Joanna Żarnecka</w:t>
      </w:r>
    </w:p>
    <w:p w14:paraId="4335BD40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eastAsia="MS Mincho" w:hAnsi="Theinhardt Light" w:cs="Arial"/>
          <w:sz w:val="20"/>
          <w:szCs w:val="20"/>
        </w:rPr>
      </w:pPr>
    </w:p>
    <w:p w14:paraId="7FAA1896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Program towarzyszący festiwalu</w:t>
      </w:r>
    </w:p>
    <w:p w14:paraId="3B7E389D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Kurator: Artur Jerzy Filip</w:t>
      </w:r>
    </w:p>
    <w:p w14:paraId="744EBE44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Produkcja: Agnieszka Najder, Aleksandra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Nasiorowska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Katarzyna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Koślacz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>, Katarzyna Grinberg</w:t>
      </w:r>
    </w:p>
    <w:p w14:paraId="0BE631BD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</w:rPr>
      </w:pPr>
    </w:p>
    <w:p w14:paraId="190EDD07" w14:textId="77777777" w:rsidR="00930F7B" w:rsidRPr="0074663B" w:rsidRDefault="00930F7B" w:rsidP="00930F7B">
      <w:pPr>
        <w:widowControl w:val="0"/>
        <w:autoSpaceDE w:val="0"/>
        <w:rPr>
          <w:rFonts w:ascii="Theinhardt Light" w:hAnsi="Theinhardt Light" w:cs="--unknown-1--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Identyfikacja festiwalu</w:t>
      </w:r>
    </w:p>
    <w:p w14:paraId="6A422650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Piotr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Chuchla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Ludovic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Balland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Typography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Cabinet</w:t>
      </w:r>
      <w:proofErr w:type="spellEnd"/>
    </w:p>
    <w:p w14:paraId="06C4C3ED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</w:rPr>
      </w:pPr>
    </w:p>
    <w:p w14:paraId="459D0E0D" w14:textId="77777777" w:rsidR="00930F7B" w:rsidRPr="0074663B" w:rsidRDefault="00930F7B" w:rsidP="00930F7B">
      <w:pPr>
        <w:widowControl w:val="0"/>
        <w:autoSpaceDE w:val="0"/>
        <w:rPr>
          <w:rFonts w:ascii="Theinhardt Light" w:hAnsi="Theinhardt Light" w:cs="--unknown-1--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Promocja i komunikacja</w:t>
      </w:r>
    </w:p>
    <w:p w14:paraId="3530CFFB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color w:val="000000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Muzeum Sztuki Nowoczesnej w Warszawie: Iga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Winczakiewicz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Artur Jerzy Filip, Anna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Tryc-Bromley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</w:t>
      </w:r>
      <w:proofErr w:type="spellStart"/>
      <w:r w:rsidRPr="0074663B">
        <w:rPr>
          <w:rFonts w:ascii="Theinhardt Light" w:hAnsi="Theinhardt Light" w:cs="Arial"/>
          <w:color w:val="000000"/>
          <w:sz w:val="20"/>
          <w:szCs w:val="20"/>
        </w:rPr>
        <w:t>Kacha</w:t>
      </w:r>
      <w:proofErr w:type="spellEnd"/>
      <w:r w:rsidRPr="0074663B">
        <w:rPr>
          <w:rFonts w:ascii="Theinhardt Light" w:hAnsi="Theinhardt Light" w:cs="Arial"/>
          <w:color w:val="000000"/>
          <w:sz w:val="20"/>
          <w:szCs w:val="20"/>
        </w:rPr>
        <w:t xml:space="preserve"> Szaniawska, Daniel Woźniak, Bartosz Stawiarski </w:t>
      </w:r>
    </w:p>
    <w:p w14:paraId="2CA7A00F" w14:textId="77777777" w:rsidR="00930F7B" w:rsidRPr="0074663B" w:rsidRDefault="00930F7B" w:rsidP="00930F7B">
      <w:pPr>
        <w:pStyle w:val="NormalnyWeb"/>
        <w:spacing w:before="0" w:beforeAutospacing="0" w:after="0" w:afterAutospacing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Muzeum Warszawy: Dagmara Mazurek, Katarzyna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Szacińska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>-Szymeczko</w:t>
      </w:r>
    </w:p>
    <w:p w14:paraId="35B42B0E" w14:textId="77777777" w:rsidR="00930F7B" w:rsidRPr="0074663B" w:rsidRDefault="00930F7B" w:rsidP="00930F7B">
      <w:pPr>
        <w:pStyle w:val="NormalnyWeb"/>
        <w:spacing w:before="0" w:beforeAutospacing="0" w:after="0" w:afterAutospacing="0"/>
        <w:rPr>
          <w:rFonts w:ascii="Theinhardt Light" w:hAnsi="Theinhardt Light" w:cs="Arial"/>
          <w:color w:val="000000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TR Warszawa: Kaja Stępkowska</w:t>
      </w:r>
    </w:p>
    <w:p w14:paraId="5BE47620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</w:rPr>
      </w:pPr>
    </w:p>
    <w:p w14:paraId="669492BF" w14:textId="77777777" w:rsidR="00930F7B" w:rsidRPr="0074663B" w:rsidRDefault="00930F7B" w:rsidP="00930F7B">
      <w:pPr>
        <w:widowControl w:val="0"/>
        <w:autoSpaceDE w:val="0"/>
        <w:rPr>
          <w:rFonts w:ascii="Theinhardt Light" w:hAnsi="Theinhardt Light" w:cs="--unknown-1--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Program edukacyjny</w:t>
      </w:r>
    </w:p>
    <w:p w14:paraId="6CCEA384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Muzeum Sztuki Nowoczesnej w Warszawie: Marta Skowrońska-Markiewicz</w:t>
      </w:r>
    </w:p>
    <w:p w14:paraId="4E640201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Muzeum Warszawy: Radosław Adamski, Teresa Łempicka, Anna Kwiatkowska</w:t>
      </w:r>
    </w:p>
    <w:p w14:paraId="6DADAE5C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TR Warszawa: Anna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Rochowska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Anna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Kurelska</w:t>
      </w:r>
      <w:proofErr w:type="spellEnd"/>
    </w:p>
    <w:p w14:paraId="3B0702FF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170AC8FB" w14:textId="77777777" w:rsidR="00930F7B" w:rsidRPr="0074663B" w:rsidRDefault="00930F7B" w:rsidP="00930F7B">
      <w:pPr>
        <w:widowControl w:val="0"/>
        <w:autoSpaceDE w:val="0"/>
        <w:rPr>
          <w:rFonts w:ascii="Theinhardt Light" w:hAnsi="Theinhardt Light" w:cs="--unknown-1--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Wirtualna Strefa Ekonomiczna</w:t>
      </w:r>
    </w:p>
    <w:p w14:paraId="13CCFE95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Autorzy: Maciej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Czeredys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Natalia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Romik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>, Kuba Szreder</w:t>
      </w:r>
    </w:p>
    <w:p w14:paraId="3A4F52DA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Produkcja: Agnieszka Szreder, Rafał Żwirek</w:t>
      </w:r>
    </w:p>
    <w:p w14:paraId="102A3BEE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</w:rPr>
      </w:pPr>
    </w:p>
    <w:p w14:paraId="3F49DEEB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i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i/>
          <w:sz w:val="20"/>
          <w:szCs w:val="20"/>
          <w:u w:val="single"/>
        </w:rPr>
        <w:t xml:space="preserve">Piłkarze – </w:t>
      </w: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spektakl TR Warszawa</w:t>
      </w:r>
    </w:p>
    <w:p w14:paraId="0FF9C5D3" w14:textId="77777777" w:rsidR="00930F7B" w:rsidRPr="0074663B" w:rsidRDefault="00930F7B" w:rsidP="00930F7B">
      <w:pPr>
        <w:outlineLvl w:val="2"/>
        <w:rPr>
          <w:rFonts w:ascii="Theinhardt Light" w:eastAsia="Times New Roman" w:hAnsi="Theinhardt Light"/>
          <w:color w:val="000000"/>
          <w:sz w:val="20"/>
          <w:szCs w:val="20"/>
        </w:rPr>
      </w:pP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 xml:space="preserve">Reżyseria: Małgorzata 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Wdowik</w:t>
      </w:r>
      <w:proofErr w:type="spellEnd"/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 xml:space="preserve">Tekst: Krzysztof 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Szekalski</w:t>
      </w:r>
      <w:proofErr w:type="spellEnd"/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Choreografia: Marta Ziółek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Reżyseria świateł, scenografia, kostiumy: 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Aleksandr</w:t>
      </w:r>
      <w:proofErr w:type="spellEnd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 xml:space="preserve"> 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Prowaliński</w:t>
      </w:r>
      <w:proofErr w:type="spellEnd"/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Współpraca dramaturgiczna: Joanna Ostrowska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Asystent reżyserki: Wiktor Bagiński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Obsada: Wiktor Bagiński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>, 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Dobromir Dymecki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>, 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 xml:space="preserve">Kacper 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Wdowik</w:t>
      </w:r>
      <w:proofErr w:type="spellEnd"/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hAnsi="Theinhardt Light" w:cs="Arial"/>
          <w:color w:val="000000"/>
          <w:sz w:val="20"/>
          <w:szCs w:val="20"/>
        </w:rPr>
        <w:t xml:space="preserve">Produkcja: Katarzyna </w:t>
      </w:r>
      <w:proofErr w:type="spellStart"/>
      <w:r w:rsidRPr="0074663B">
        <w:rPr>
          <w:rFonts w:ascii="Theinhardt Light" w:hAnsi="Theinhardt Light" w:cs="Arial"/>
          <w:color w:val="000000"/>
          <w:sz w:val="20"/>
          <w:szCs w:val="20"/>
        </w:rPr>
        <w:t>Białach</w:t>
      </w:r>
      <w:proofErr w:type="spellEnd"/>
    </w:p>
    <w:p w14:paraId="7C26EB11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</w:rPr>
      </w:pPr>
    </w:p>
    <w:p w14:paraId="7C14ECF3" w14:textId="77777777" w:rsidR="00930F7B" w:rsidRPr="0074663B" w:rsidRDefault="00930F7B" w:rsidP="00930F7B">
      <w:pPr>
        <w:rPr>
          <w:rFonts w:ascii="Theinhardt Light" w:hAnsi="Theinhardt Light" w:cs="Arial"/>
          <w:b/>
          <w:color w:val="AEAAAA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Wykonawca Stanowiska Plac Centralny</w:t>
      </w:r>
    </w:p>
    <w:p w14:paraId="49D31732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„JA-HO” ROBIMY TO… NAJLEPIEJ</w:t>
      </w:r>
    </w:p>
    <w:p w14:paraId="422DA8D0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</w:rPr>
      </w:pPr>
    </w:p>
    <w:p w14:paraId="6CB2109F" w14:textId="77777777" w:rsidR="00930F7B" w:rsidRPr="0074663B" w:rsidRDefault="00930F7B" w:rsidP="00930F7B">
      <w:pPr>
        <w:rPr>
          <w:rFonts w:ascii="Theinhardt Light" w:hAnsi="Theinhardt Light" w:cs="--unknown-1--"/>
          <w:color w:val="AEAAAA"/>
          <w:sz w:val="20"/>
          <w:szCs w:val="20"/>
          <w:u w:val="single"/>
          <w:lang w:val="en-US"/>
        </w:rPr>
      </w:pPr>
      <w:proofErr w:type="spellStart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>Wykonawca</w:t>
      </w:r>
      <w:proofErr w:type="spellEnd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>Plac</w:t>
      </w:r>
      <w:proofErr w:type="spellEnd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 xml:space="preserve"> 1:1</w:t>
      </w:r>
    </w:p>
    <w:p w14:paraId="06349488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  <w:lang w:val="en-US"/>
        </w:rPr>
      </w:pPr>
      <w:proofErr w:type="gramStart"/>
      <w:r w:rsidRPr="0074663B">
        <w:rPr>
          <w:rFonts w:ascii="Theinhardt Light" w:hAnsi="Theinhardt Light" w:cs="Arial"/>
          <w:sz w:val="20"/>
          <w:szCs w:val="20"/>
          <w:lang w:val="en-US"/>
        </w:rPr>
        <w:t xml:space="preserve">ENKO Sp. z </w:t>
      </w:r>
      <w:proofErr w:type="spellStart"/>
      <w:r w:rsidRPr="0074663B">
        <w:rPr>
          <w:rFonts w:ascii="Theinhardt Light" w:hAnsi="Theinhardt Light" w:cs="Arial"/>
          <w:sz w:val="20"/>
          <w:szCs w:val="20"/>
          <w:lang w:val="en-US"/>
        </w:rPr>
        <w:t>o.o</w:t>
      </w:r>
      <w:proofErr w:type="spellEnd"/>
      <w:r w:rsidRPr="0074663B">
        <w:rPr>
          <w:rFonts w:ascii="Theinhardt Light" w:hAnsi="Theinhardt Light" w:cs="Arial"/>
          <w:sz w:val="20"/>
          <w:szCs w:val="20"/>
          <w:lang w:val="en-US"/>
        </w:rPr>
        <w:t>.</w:t>
      </w:r>
      <w:proofErr w:type="gramEnd"/>
    </w:p>
    <w:p w14:paraId="2A32E71F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  <w:lang w:val="en-US"/>
        </w:rPr>
      </w:pPr>
    </w:p>
    <w:p w14:paraId="7DD94F33" w14:textId="77777777" w:rsidR="00930F7B" w:rsidRPr="0074663B" w:rsidRDefault="00930F7B" w:rsidP="00930F7B">
      <w:pPr>
        <w:rPr>
          <w:rFonts w:ascii="Theinhardt Light" w:hAnsi="Theinhardt Light" w:cs="--unknown-1--"/>
          <w:sz w:val="20"/>
          <w:szCs w:val="20"/>
          <w:u w:val="single"/>
          <w:lang w:val="en-US"/>
        </w:rPr>
      </w:pPr>
      <w:proofErr w:type="spellStart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>Wykonawca</w:t>
      </w:r>
      <w:proofErr w:type="spellEnd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 xml:space="preserve"> Place w </w:t>
      </w:r>
      <w:proofErr w:type="spellStart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>Placu</w:t>
      </w:r>
      <w:proofErr w:type="spellEnd"/>
    </w:p>
    <w:p w14:paraId="14C0478C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</w:rPr>
      </w:pPr>
      <w:proofErr w:type="spellStart"/>
      <w:r w:rsidRPr="0074663B">
        <w:rPr>
          <w:rFonts w:ascii="Theinhardt Light" w:hAnsi="Theinhardt Light" w:cs="Arial"/>
          <w:sz w:val="20"/>
          <w:szCs w:val="20"/>
        </w:rPr>
        <w:t>Good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Looking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Studio</w:t>
      </w:r>
    </w:p>
    <w:p w14:paraId="2F858E9E" w14:textId="77777777" w:rsidR="00930F7B" w:rsidRPr="0074663B" w:rsidRDefault="00930F7B" w:rsidP="00930F7B">
      <w:pPr>
        <w:rPr>
          <w:rFonts w:ascii="Theinhardt Light" w:hAnsi="Theinhardt Light" w:cs="Arial"/>
          <w:sz w:val="20"/>
          <w:szCs w:val="20"/>
        </w:rPr>
      </w:pPr>
    </w:p>
    <w:p w14:paraId="31BD0530" w14:textId="77777777" w:rsidR="00930F7B" w:rsidRPr="0074663B" w:rsidRDefault="00930F7B" w:rsidP="00930F7B">
      <w:pPr>
        <w:autoSpaceDE w:val="0"/>
        <w:autoSpaceDN w:val="0"/>
        <w:adjustRightInd w:val="0"/>
        <w:rPr>
          <w:rFonts w:ascii="Theinhardt Light" w:hAnsi="Theinhardt Light" w:cs="Arial"/>
          <w:b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Podziękowania:</w:t>
      </w:r>
    </w:p>
    <w:p w14:paraId="3B7CC859" w14:textId="77777777" w:rsidR="00930F7B" w:rsidRPr="00971315" w:rsidRDefault="00930F7B" w:rsidP="00930F7B">
      <w:pPr>
        <w:rPr>
          <w:rFonts w:ascii="Theinhardt Light" w:hAnsi="Theinhardt Light" w:cs="Arial"/>
          <w:sz w:val="20"/>
          <w:szCs w:val="20"/>
        </w:rPr>
      </w:pPr>
      <w:r w:rsidRPr="00971315">
        <w:rPr>
          <w:rFonts w:ascii="Theinhardt Light" w:hAnsi="Theinhardt Light" w:cs="Arial"/>
          <w:sz w:val="20"/>
          <w:szCs w:val="20"/>
        </w:rPr>
        <w:lastRenderedPageBreak/>
        <w:t xml:space="preserve">Zuzanna Bobrowicz, Anita Derlatka, Ewelina Dudziak, Joanna Filipczak-Zaród, Marlena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Happach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 xml:space="preserve">, Kamila Hołubowicz, Agnieszka Jarzyńska, Elżbieta Jóźwik, Barbara Kłosińska, Monika Komorowska, Agata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Kolwas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 xml:space="preserve">, Jerzy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Kopytowski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 xml:space="preserve">,  Grzegorz Lewandowski, Agnieszka Łabuszewska Aldona Machnowska, Arleta Mądra, Jan Miecznikowski, Roman Osadnik, Roman Pawłowski Mariusz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Sejdak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 xml:space="preserve">, Tadeusz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Słobodzianek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>,</w:t>
      </w:r>
      <w:r w:rsidRPr="00971315">
        <w:rPr>
          <w:rFonts w:ascii="Theinhardt Light" w:eastAsia="Warsaw-Standard" w:hAnsi="Theinhardt Light" w:cs="Arial"/>
          <w:sz w:val="20"/>
          <w:szCs w:val="20"/>
        </w:rPr>
        <w:t xml:space="preserve"> Łukasz </w:t>
      </w:r>
      <w:proofErr w:type="spellStart"/>
      <w:r w:rsidRPr="00971315">
        <w:rPr>
          <w:rFonts w:ascii="Theinhardt Light" w:eastAsia="Warsaw-Standard" w:hAnsi="Theinhardt Light" w:cs="Arial"/>
          <w:sz w:val="20"/>
          <w:szCs w:val="20"/>
        </w:rPr>
        <w:t>Stępnik</w:t>
      </w:r>
      <w:proofErr w:type="spellEnd"/>
      <w:r w:rsidRPr="00971315">
        <w:rPr>
          <w:rFonts w:ascii="Theinhardt Light" w:eastAsia="Warsaw-Standard" w:hAnsi="Theinhardt Light" w:cs="Arial"/>
          <w:sz w:val="20"/>
          <w:szCs w:val="20"/>
        </w:rPr>
        <w:t xml:space="preserve">, </w:t>
      </w:r>
      <w:r w:rsidRPr="00971315">
        <w:rPr>
          <w:rFonts w:ascii="Theinhardt Light" w:hAnsi="Theinhardt Light" w:cs="Arial"/>
          <w:sz w:val="20"/>
          <w:szCs w:val="20"/>
        </w:rPr>
        <w:t xml:space="preserve">Żaneta Urbaniak, Małgorzata Wiśniewska-Janus, </w:t>
      </w:r>
      <w:r w:rsidRPr="00971315">
        <w:rPr>
          <w:rFonts w:ascii="Theinhardt Light" w:eastAsia="Times New Roman" w:hAnsi="Theinhardt Light" w:cs="Arial"/>
          <w:sz w:val="20"/>
          <w:szCs w:val="20"/>
          <w:shd w:val="clear" w:color="auto" w:fill="FFFFFF"/>
        </w:rPr>
        <w:t xml:space="preserve">Konrad Wojewódzki, Patrycja Wojtas, </w:t>
      </w:r>
      <w:r w:rsidRPr="00971315">
        <w:rPr>
          <w:rFonts w:ascii="Theinhardt Light" w:hAnsi="Theinhardt Light" w:cs="Arial"/>
          <w:sz w:val="20"/>
          <w:szCs w:val="20"/>
        </w:rPr>
        <w:t xml:space="preserve">Magdalena Zoń. </w:t>
      </w:r>
    </w:p>
    <w:p w14:paraId="3D1EC3DE" w14:textId="77777777" w:rsidR="00930F7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sz w:val="20"/>
          <w:szCs w:val="20"/>
          <w:u w:val="single"/>
        </w:rPr>
      </w:pPr>
    </w:p>
    <w:p w14:paraId="604CE4B4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Organizatorzy</w:t>
      </w:r>
      <w:r>
        <w:rPr>
          <w:rFonts w:ascii="Theinhardt Light" w:hAnsi="Theinhardt Light" w:cs="Arial"/>
          <w:b/>
          <w:sz w:val="20"/>
          <w:szCs w:val="20"/>
          <w:u w:val="single"/>
        </w:rPr>
        <w:t xml:space="preserve"> festiwalu i wystawy</w:t>
      </w:r>
    </w:p>
    <w:p w14:paraId="00EEAB0E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5F24ED82" w14:textId="77777777" w:rsidR="00930F7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noProof/>
          <w:sz w:val="20"/>
          <w:szCs w:val="20"/>
          <w:lang w:val="en-US" w:eastAsia="pl-PL"/>
        </w:rPr>
        <w:drawing>
          <wp:inline distT="0" distB="0" distL="0" distR="0" wp14:anchorId="7DF7C921" wp14:editId="25EBE895">
            <wp:extent cx="2638425" cy="1133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81A0" w14:textId="77777777" w:rsidR="00930F7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0F519D90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491646E6" w14:textId="77777777" w:rsidR="00930F7B" w:rsidRPr="0074663B" w:rsidRDefault="00930F7B" w:rsidP="00930F7B">
      <w:pPr>
        <w:pStyle w:val="Nagwek4"/>
        <w:shd w:val="clear" w:color="auto" w:fill="FFFFFF"/>
        <w:spacing w:before="0" w:after="0"/>
        <w:textAlignment w:val="baseline"/>
        <w:rPr>
          <w:rFonts w:ascii="Theinhardt Light" w:hAnsi="Theinhardt Light" w:cs="Arial"/>
          <w:color w:val="000000"/>
          <w:sz w:val="20"/>
          <w:szCs w:val="20"/>
          <w:u w:val="single"/>
        </w:rPr>
      </w:pPr>
      <w:r w:rsidRPr="0074663B">
        <w:rPr>
          <w:rFonts w:ascii="Theinhardt Light" w:hAnsi="Theinhardt Light" w:cs="Arial"/>
          <w:color w:val="000000"/>
          <w:sz w:val="20"/>
          <w:szCs w:val="20"/>
          <w:u w:val="single"/>
        </w:rPr>
        <w:t>Współpraca i finansow</w:t>
      </w:r>
      <w:r>
        <w:rPr>
          <w:rFonts w:ascii="Theinhardt Light" w:hAnsi="Theinhardt Light" w:cs="Arial"/>
          <w:color w:val="000000"/>
          <w:sz w:val="20"/>
          <w:szCs w:val="20"/>
          <w:u w:val="single"/>
        </w:rPr>
        <w:t>anie: miasto stołeczne Warszawa</w:t>
      </w:r>
    </w:p>
    <w:p w14:paraId="76AAB81F" w14:textId="77777777" w:rsidR="00930F7B" w:rsidRPr="0074663B" w:rsidRDefault="00930F7B" w:rsidP="00930F7B">
      <w:pPr>
        <w:rPr>
          <w:rFonts w:ascii="Theinhardt Light" w:hAnsi="Theinhardt Light"/>
          <w:sz w:val="20"/>
          <w:szCs w:val="20"/>
        </w:rPr>
      </w:pPr>
    </w:p>
    <w:p w14:paraId="0E6683E9" w14:textId="77777777" w:rsidR="00930F7B" w:rsidRPr="0074663B" w:rsidRDefault="00930F7B" w:rsidP="00930F7B">
      <w:pPr>
        <w:rPr>
          <w:rFonts w:ascii="Theinhardt Light" w:hAnsi="Theinhardt Light"/>
          <w:sz w:val="20"/>
          <w:szCs w:val="20"/>
        </w:rPr>
      </w:pPr>
      <w:r w:rsidRPr="0074663B">
        <w:rPr>
          <w:rFonts w:ascii="Theinhardt Light" w:hAnsi="Theinhardt Light"/>
          <w:noProof/>
          <w:sz w:val="20"/>
          <w:szCs w:val="20"/>
          <w:lang w:val="en-US" w:eastAsia="pl-PL"/>
        </w:rPr>
        <w:drawing>
          <wp:inline distT="0" distB="0" distL="0" distR="0" wp14:anchorId="66465DB0" wp14:editId="348526AB">
            <wp:extent cx="863193" cy="863193"/>
            <wp:effectExtent l="0" t="0" r="0" b="0"/>
            <wp:docPr id="6" name="Obraz 6" descr="C:\Users\i.winczakiewicz\Desktop\WWB 9\WWB9 LOGO\2. Współpraca i finansowanie\znak_czarn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.winczakiewicz\Desktop\WWB 9\WWB9 LOGO\2. Współpraca i finansowanie\znak_czarny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38" cy="8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44DC" w14:textId="77777777" w:rsidR="00930F7B" w:rsidRPr="0074663B" w:rsidRDefault="00930F7B" w:rsidP="00930F7B">
      <w:pPr>
        <w:pStyle w:val="Nagwek4"/>
        <w:shd w:val="clear" w:color="auto" w:fill="FFFFFF"/>
        <w:spacing w:before="0" w:after="0"/>
        <w:textAlignment w:val="baseline"/>
        <w:rPr>
          <w:rFonts w:ascii="Theinhardt Light" w:hAnsi="Theinhardt Light" w:cs="Arial"/>
          <w:color w:val="000000"/>
          <w:sz w:val="20"/>
          <w:szCs w:val="20"/>
          <w:u w:val="single"/>
        </w:rPr>
      </w:pPr>
      <w:r w:rsidRPr="0074663B">
        <w:rPr>
          <w:rFonts w:ascii="Theinhardt Light" w:hAnsi="Theinhardt Light" w:cs="Arial"/>
          <w:color w:val="000000"/>
          <w:sz w:val="20"/>
          <w:szCs w:val="20"/>
          <w:u w:val="single"/>
        </w:rPr>
        <w:t>Pa</w:t>
      </w:r>
      <w:r>
        <w:rPr>
          <w:rFonts w:ascii="Theinhardt Light" w:hAnsi="Theinhardt Light" w:cs="Arial"/>
          <w:color w:val="000000"/>
          <w:sz w:val="20"/>
          <w:szCs w:val="20"/>
          <w:u w:val="single"/>
        </w:rPr>
        <w:t>rtner, współorganizator wystawy</w:t>
      </w:r>
    </w:p>
    <w:p w14:paraId="49615CC6" w14:textId="77777777" w:rsidR="00930F7B" w:rsidRPr="0074663B" w:rsidRDefault="00930F7B" w:rsidP="00930F7B">
      <w:pPr>
        <w:rPr>
          <w:rFonts w:ascii="Theinhardt Light" w:hAnsi="Theinhardt Light"/>
          <w:sz w:val="20"/>
          <w:szCs w:val="20"/>
        </w:rPr>
      </w:pPr>
    </w:p>
    <w:p w14:paraId="37310241" w14:textId="77777777" w:rsidR="00930F7B" w:rsidRPr="0074663B" w:rsidRDefault="00930F7B" w:rsidP="00930F7B">
      <w:pPr>
        <w:rPr>
          <w:rFonts w:ascii="Theinhardt Light" w:hAnsi="Theinhardt Light"/>
          <w:sz w:val="20"/>
          <w:szCs w:val="20"/>
        </w:rPr>
      </w:pPr>
      <w:r w:rsidRPr="0074663B">
        <w:rPr>
          <w:rFonts w:ascii="Theinhardt Light" w:hAnsi="Theinhardt Light"/>
          <w:noProof/>
          <w:sz w:val="20"/>
          <w:szCs w:val="20"/>
          <w:lang w:val="en-US" w:eastAsia="pl-PL"/>
        </w:rPr>
        <w:drawing>
          <wp:inline distT="0" distB="0" distL="0" distR="0" wp14:anchorId="73294004" wp14:editId="1089C7C0">
            <wp:extent cx="11334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047C9" w14:textId="77777777" w:rsidR="00930F7B" w:rsidRPr="0074663B" w:rsidRDefault="00930F7B" w:rsidP="00930F7B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sz w:val="20"/>
          <w:szCs w:val="20"/>
          <w:u w:val="single"/>
        </w:rPr>
      </w:pPr>
      <w:r>
        <w:rPr>
          <w:rFonts w:ascii="Theinhardt Light" w:hAnsi="Theinhardt Light" w:cs="Arial"/>
          <w:b/>
          <w:sz w:val="20"/>
          <w:szCs w:val="20"/>
          <w:u w:val="single"/>
        </w:rPr>
        <w:t>Partnerzy</w:t>
      </w:r>
    </w:p>
    <w:p w14:paraId="4D3ED17F" w14:textId="77777777" w:rsidR="00930F7B" w:rsidRPr="004A0FD0" w:rsidRDefault="00930F7B" w:rsidP="00930F7B">
      <w:pPr>
        <w:jc w:val="both"/>
        <w:rPr>
          <w:rFonts w:ascii="Theinhardt Light" w:hAnsi="Theinhardt Light"/>
        </w:rPr>
      </w:pPr>
      <w:r>
        <w:rPr>
          <w:rFonts w:ascii="Theinhardt Light" w:hAnsi="Theinhardt Light"/>
          <w:noProof/>
          <w:lang w:val="en-US" w:eastAsia="pl-PL"/>
        </w:rPr>
        <w:drawing>
          <wp:inline distT="0" distB="0" distL="0" distR="0" wp14:anchorId="10C0D29D" wp14:editId="505C9DE9">
            <wp:extent cx="6368203" cy="933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64" cy="9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7A9D" w14:textId="2C2599CC" w:rsidR="0074663B" w:rsidRPr="004A0FD0" w:rsidRDefault="0074663B" w:rsidP="004A0FD0">
      <w:pPr>
        <w:jc w:val="both"/>
        <w:rPr>
          <w:rFonts w:ascii="Theinhardt Light" w:hAnsi="Theinhardt Light"/>
        </w:rPr>
      </w:pPr>
      <w:bookmarkStart w:id="0" w:name="_GoBack"/>
      <w:bookmarkEnd w:id="0"/>
    </w:p>
    <w:sectPr w:rsidR="0074663B" w:rsidRPr="004A0FD0" w:rsidSect="00A12271">
      <w:pgSz w:w="11900" w:h="16840"/>
      <w:pgMar w:top="993" w:right="126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Theinhardt Light">
    <w:panose1 w:val="020B0303020202020204"/>
    <w:charset w:val="00"/>
    <w:family w:val="auto"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--unknown-1--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arsaw-Standard">
    <w:charset w:val="00"/>
    <w:family w:val="auto"/>
    <w:pitch w:val="variable"/>
    <w:sig w:usb0="80000027" w:usb1="40000000" w:usb2="00000000" w:usb3="00000000" w:csb0="00000003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F3"/>
    <w:rsid w:val="000A1DE3"/>
    <w:rsid w:val="000A2E2C"/>
    <w:rsid w:val="000C51C8"/>
    <w:rsid w:val="00117DA0"/>
    <w:rsid w:val="00195DC7"/>
    <w:rsid w:val="001E4617"/>
    <w:rsid w:val="0028001E"/>
    <w:rsid w:val="00290C4C"/>
    <w:rsid w:val="00305E1A"/>
    <w:rsid w:val="003924B6"/>
    <w:rsid w:val="00392B27"/>
    <w:rsid w:val="00395A7F"/>
    <w:rsid w:val="003A22AB"/>
    <w:rsid w:val="003E3983"/>
    <w:rsid w:val="004114EA"/>
    <w:rsid w:val="0048177F"/>
    <w:rsid w:val="004A0FD0"/>
    <w:rsid w:val="004A647C"/>
    <w:rsid w:val="00544CD8"/>
    <w:rsid w:val="00576A9B"/>
    <w:rsid w:val="0061448A"/>
    <w:rsid w:val="00703969"/>
    <w:rsid w:val="00723644"/>
    <w:rsid w:val="0074663B"/>
    <w:rsid w:val="0078601C"/>
    <w:rsid w:val="00797340"/>
    <w:rsid w:val="007D719A"/>
    <w:rsid w:val="00831D27"/>
    <w:rsid w:val="009112BD"/>
    <w:rsid w:val="00930F7B"/>
    <w:rsid w:val="0095715F"/>
    <w:rsid w:val="00964B6D"/>
    <w:rsid w:val="0097097C"/>
    <w:rsid w:val="00A12271"/>
    <w:rsid w:val="00A12EC6"/>
    <w:rsid w:val="00A70016"/>
    <w:rsid w:val="00AB15CA"/>
    <w:rsid w:val="00BA63FF"/>
    <w:rsid w:val="00BF0C67"/>
    <w:rsid w:val="00BF4544"/>
    <w:rsid w:val="00C0055F"/>
    <w:rsid w:val="00C0112A"/>
    <w:rsid w:val="00C53A96"/>
    <w:rsid w:val="00C654AD"/>
    <w:rsid w:val="00C746F3"/>
    <w:rsid w:val="00C82655"/>
    <w:rsid w:val="00C9439F"/>
    <w:rsid w:val="00CD10A0"/>
    <w:rsid w:val="00D022F1"/>
    <w:rsid w:val="00D379A7"/>
    <w:rsid w:val="00DA1419"/>
    <w:rsid w:val="00DB7F7A"/>
    <w:rsid w:val="00DD4ED3"/>
    <w:rsid w:val="00DF5008"/>
    <w:rsid w:val="00EC0974"/>
    <w:rsid w:val="00F14F57"/>
    <w:rsid w:val="00F269FF"/>
    <w:rsid w:val="00F5353E"/>
    <w:rsid w:val="00F749B5"/>
    <w:rsid w:val="00F82675"/>
    <w:rsid w:val="00F8546F"/>
    <w:rsid w:val="00F922CD"/>
    <w:rsid w:val="00FE4C01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F0C8A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0F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F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C746F3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746F3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Siatkatabeli">
    <w:name w:val="Table Grid"/>
    <w:basedOn w:val="Standardowy"/>
    <w:uiPriority w:val="39"/>
    <w:rsid w:val="0029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A0F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FD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700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F7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7B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0F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F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C746F3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746F3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Siatkatabeli">
    <w:name w:val="Table Grid"/>
    <w:basedOn w:val="Standardowy"/>
    <w:uiPriority w:val="39"/>
    <w:rsid w:val="0029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A0F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FD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700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F7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7B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nna.tryc@artmuseum.pl,607926000,iga.winczakiewicz@artmuseum.p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5150</Characters>
  <Application>Microsoft Macintosh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Bartosz Stawiarski</cp:lastModifiedBy>
  <cp:revision>2</cp:revision>
  <dcterms:created xsi:type="dcterms:W3CDTF">2017-10-02T12:12:00Z</dcterms:created>
  <dcterms:modified xsi:type="dcterms:W3CDTF">2017-10-02T12:12:00Z</dcterms:modified>
</cp:coreProperties>
</file>