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95141B" w:rsidRPr="0095141B" w14:paraId="3448A5AD" w14:textId="77777777" w:rsidTr="005E6A74">
        <w:tc>
          <w:tcPr>
            <w:tcW w:w="1838" w:type="dxa"/>
          </w:tcPr>
          <w:p w14:paraId="01AC9221" w14:textId="490E2752" w:rsidR="00490630" w:rsidRPr="0095141B" w:rsidRDefault="00105C4C" w:rsidP="00490630">
            <w:pPr>
              <w:spacing w:before="240" w:after="240"/>
              <w:rPr>
                <w:rFonts w:ascii="Theinhardt Light" w:hAnsi="Theinhardt Light"/>
                <w:sz w:val="24"/>
                <w:szCs w:val="24"/>
              </w:rPr>
            </w:pPr>
            <w:r>
              <w:rPr>
                <w:rFonts w:ascii="Theinhardt Light" w:hAnsi="Theinhardt Light"/>
                <w:sz w:val="24"/>
                <w:szCs w:val="24"/>
              </w:rPr>
              <w:pict w14:anchorId="0F7386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82.25pt">
                  <v:imagedata r:id="rId4" o:title="logo_Muzeum_PL_wysokie_M_HQ"/>
                </v:shape>
              </w:pict>
            </w:r>
          </w:p>
        </w:tc>
        <w:tc>
          <w:tcPr>
            <w:tcW w:w="7229" w:type="dxa"/>
          </w:tcPr>
          <w:p w14:paraId="096F447E" w14:textId="77777777" w:rsidR="0095141B" w:rsidRPr="0095141B" w:rsidRDefault="0095141B" w:rsidP="00490630">
            <w:pPr>
              <w:jc w:val="right"/>
              <w:rPr>
                <w:rFonts w:ascii="Theinhardt Light" w:hAnsi="Theinhardt Light"/>
                <w:szCs w:val="24"/>
              </w:rPr>
            </w:pPr>
          </w:p>
          <w:p w14:paraId="1BDFD2CA" w14:textId="23FF04FE" w:rsidR="00490630" w:rsidRPr="0095141B" w:rsidRDefault="00490630" w:rsidP="00490630">
            <w:pPr>
              <w:jc w:val="right"/>
              <w:rPr>
                <w:rFonts w:ascii="Theinhardt Light" w:hAnsi="Theinhardt Light"/>
                <w:b/>
                <w:sz w:val="32"/>
                <w:szCs w:val="24"/>
              </w:rPr>
            </w:pPr>
            <w:proofErr w:type="spellStart"/>
            <w:r w:rsidRPr="0095141B">
              <w:rPr>
                <w:rFonts w:ascii="Theinhardt Light" w:hAnsi="Theinhardt Light"/>
                <w:b/>
                <w:sz w:val="32"/>
                <w:szCs w:val="24"/>
              </w:rPr>
              <w:t>MSzN</w:t>
            </w:r>
            <w:proofErr w:type="spellEnd"/>
          </w:p>
          <w:p w14:paraId="7DD1FC9F" w14:textId="77777777" w:rsidR="00490630" w:rsidRPr="0095141B" w:rsidRDefault="00490630" w:rsidP="00490630">
            <w:pPr>
              <w:jc w:val="right"/>
              <w:rPr>
                <w:rFonts w:ascii="Theinhardt Light" w:hAnsi="Theinhardt Light"/>
                <w:b/>
                <w:sz w:val="36"/>
                <w:szCs w:val="28"/>
              </w:rPr>
            </w:pPr>
            <w:r w:rsidRPr="0095141B">
              <w:rPr>
                <w:rFonts w:ascii="Theinhardt Light" w:hAnsi="Theinhardt Light"/>
                <w:b/>
                <w:sz w:val="32"/>
                <w:szCs w:val="24"/>
              </w:rPr>
              <w:t>Ostatnia praca</w:t>
            </w:r>
            <w:r w:rsidRPr="0095141B">
              <w:rPr>
                <w:rFonts w:ascii="Theinhardt Light" w:hAnsi="Theinhardt Light"/>
                <w:b/>
                <w:sz w:val="36"/>
                <w:szCs w:val="28"/>
              </w:rPr>
              <w:t xml:space="preserve"> Wojciecha </w:t>
            </w:r>
            <w:proofErr w:type="spellStart"/>
            <w:r w:rsidRPr="0095141B">
              <w:rPr>
                <w:rFonts w:ascii="Theinhardt Light" w:hAnsi="Theinhardt Light"/>
                <w:b/>
                <w:sz w:val="36"/>
                <w:szCs w:val="28"/>
              </w:rPr>
              <w:t>Fangora</w:t>
            </w:r>
            <w:proofErr w:type="spellEnd"/>
          </w:p>
          <w:p w14:paraId="6247D4E2" w14:textId="04D73146" w:rsidR="00490630" w:rsidRPr="0095141B" w:rsidRDefault="00490630" w:rsidP="0095141B">
            <w:pPr>
              <w:rPr>
                <w:rFonts w:ascii="Theinhardt Light" w:hAnsi="Theinhardt Light"/>
                <w:b/>
                <w:sz w:val="28"/>
                <w:szCs w:val="28"/>
              </w:rPr>
            </w:pPr>
          </w:p>
          <w:p w14:paraId="78BEBDE3" w14:textId="75535CAA" w:rsidR="00490630" w:rsidRPr="0095141B" w:rsidRDefault="00490630" w:rsidP="0095141B">
            <w:pPr>
              <w:spacing w:before="240" w:after="240"/>
              <w:ind w:hanging="812"/>
              <w:jc w:val="right"/>
              <w:rPr>
                <w:rFonts w:ascii="Theinhardt Light" w:hAnsi="Theinhardt Light"/>
                <w:sz w:val="24"/>
                <w:szCs w:val="24"/>
                <w:u w:val="single"/>
              </w:rPr>
            </w:pPr>
            <w:r w:rsidRPr="0095141B">
              <w:rPr>
                <w:rFonts w:ascii="Theinhardt Light" w:hAnsi="Theinhardt Light"/>
                <w:b/>
                <w:sz w:val="24"/>
                <w:szCs w:val="24"/>
              </w:rPr>
              <w:t>15 listopada, godz. 18:00</w:t>
            </w:r>
            <w:r w:rsidRPr="0095141B">
              <w:rPr>
                <w:rFonts w:ascii="Theinhardt Light" w:hAnsi="Theinhardt Light"/>
                <w:sz w:val="24"/>
                <w:szCs w:val="24"/>
              </w:rPr>
              <w:br/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t>spotkanie w Teatrze Studio</w:t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br/>
            </w:r>
            <w:r w:rsidRPr="0095141B">
              <w:rPr>
                <w:rFonts w:ascii="Theinhardt Light" w:hAnsi="Theinhardt Light"/>
                <w:sz w:val="24"/>
                <w:szCs w:val="24"/>
              </w:rPr>
              <w:t xml:space="preserve">premiera Archiwum Wojciecha </w:t>
            </w:r>
            <w:proofErr w:type="spellStart"/>
            <w:r w:rsidRPr="0095141B">
              <w:rPr>
                <w:rFonts w:ascii="Theinhardt Light" w:hAnsi="Theinhardt Light"/>
                <w:sz w:val="24"/>
                <w:szCs w:val="24"/>
              </w:rPr>
              <w:t>Fangora</w:t>
            </w:r>
            <w:proofErr w:type="spellEnd"/>
            <w:r w:rsidRPr="0095141B">
              <w:rPr>
                <w:rFonts w:ascii="Theinhardt Light" w:hAnsi="Theinhardt Light"/>
                <w:sz w:val="24"/>
                <w:szCs w:val="24"/>
              </w:rPr>
              <w:t xml:space="preserve"> na stronie </w:t>
            </w:r>
            <w:hyperlink r:id="rId5">
              <w:r w:rsidRPr="0095141B">
                <w:rPr>
                  <w:rFonts w:ascii="Theinhardt Light" w:hAnsi="Theinhardt Light"/>
                  <w:sz w:val="24"/>
                  <w:szCs w:val="24"/>
                  <w:u w:val="single"/>
                </w:rPr>
                <w:t>artmuseum.pl</w:t>
              </w:r>
            </w:hyperlink>
          </w:p>
          <w:p w14:paraId="546EA8A5" w14:textId="31BFE822" w:rsidR="00490630" w:rsidRPr="0095141B" w:rsidRDefault="00490630" w:rsidP="0095141B">
            <w:pPr>
              <w:spacing w:before="240" w:after="240"/>
              <w:jc w:val="right"/>
              <w:rPr>
                <w:rFonts w:ascii="Theinhardt Light" w:hAnsi="Theinhardt Light"/>
                <w:sz w:val="24"/>
                <w:szCs w:val="24"/>
              </w:rPr>
            </w:pPr>
            <w:r w:rsidRPr="0095141B">
              <w:rPr>
                <w:rFonts w:ascii="Theinhardt Light" w:hAnsi="Theinhardt Light"/>
                <w:b/>
                <w:sz w:val="24"/>
                <w:szCs w:val="24"/>
              </w:rPr>
              <w:t>15-20 listopada</w:t>
            </w:r>
            <w:r w:rsidRPr="0095141B">
              <w:rPr>
                <w:rFonts w:ascii="Theinhardt Light" w:hAnsi="Theinhardt Light"/>
                <w:sz w:val="24"/>
                <w:szCs w:val="24"/>
              </w:rPr>
              <w:br/>
              <w:t xml:space="preserve">ekspozycja ostatniej </w:t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t xml:space="preserve">rzeźby Wojciecha </w:t>
            </w:r>
            <w:proofErr w:type="spellStart"/>
            <w:r w:rsidR="0095141B" w:rsidRPr="0095141B">
              <w:rPr>
                <w:rFonts w:ascii="Theinhardt Light" w:hAnsi="Theinhardt Light"/>
                <w:sz w:val="24"/>
                <w:szCs w:val="24"/>
              </w:rPr>
              <w:t>Fangora</w:t>
            </w:r>
            <w:proofErr w:type="spellEnd"/>
            <w:r w:rsidR="0095141B" w:rsidRPr="0095141B">
              <w:rPr>
                <w:rFonts w:ascii="Theinhardt Light" w:hAnsi="Theinhardt Light"/>
                <w:sz w:val="24"/>
                <w:szCs w:val="24"/>
              </w:rPr>
              <w:t xml:space="preserve"> „</w:t>
            </w:r>
            <w:proofErr w:type="spellStart"/>
            <w:r w:rsidR="0095141B" w:rsidRPr="0095141B">
              <w:rPr>
                <w:rFonts w:ascii="Theinhardt Light" w:hAnsi="Theinhardt Light"/>
                <w:sz w:val="24"/>
                <w:szCs w:val="24"/>
              </w:rPr>
              <w:t>MSzN</w:t>
            </w:r>
            <w:proofErr w:type="spellEnd"/>
            <w:r w:rsidR="0095141B" w:rsidRPr="0095141B">
              <w:rPr>
                <w:rFonts w:ascii="Theinhardt Light" w:hAnsi="Theinhardt Light"/>
                <w:sz w:val="24"/>
                <w:szCs w:val="24"/>
              </w:rPr>
              <w:t>”</w:t>
            </w:r>
            <w:r w:rsidR="0095141B" w:rsidRPr="0095141B">
              <w:rPr>
                <w:rFonts w:ascii="Theinhardt Light" w:hAnsi="Theinhardt Light"/>
                <w:sz w:val="24"/>
                <w:szCs w:val="24"/>
              </w:rPr>
              <w:br/>
            </w:r>
            <w:r w:rsidRPr="0095141B">
              <w:rPr>
                <w:rFonts w:ascii="Theinhardt Light" w:hAnsi="Theinhardt Light"/>
                <w:sz w:val="24"/>
                <w:szCs w:val="24"/>
              </w:rPr>
              <w:t>na placu Defilad w Warszawie</w:t>
            </w:r>
          </w:p>
        </w:tc>
      </w:tr>
    </w:tbl>
    <w:p w14:paraId="27838A38" w14:textId="6D170B51" w:rsidR="00490630" w:rsidRPr="0095141B" w:rsidRDefault="00490630" w:rsidP="0095141B">
      <w:pPr>
        <w:spacing w:before="240" w:after="240"/>
        <w:rPr>
          <w:rFonts w:ascii="Theinhardt Light" w:hAnsi="Theinhardt Light"/>
          <w:i/>
          <w:sz w:val="24"/>
          <w:szCs w:val="24"/>
        </w:rPr>
      </w:pPr>
    </w:p>
    <w:p w14:paraId="00000001" w14:textId="0DA5AA50" w:rsidR="00B51834" w:rsidRPr="0095141B" w:rsidRDefault="005E6A74">
      <w:pPr>
        <w:spacing w:before="240" w:after="240"/>
        <w:jc w:val="right"/>
        <w:rPr>
          <w:rFonts w:ascii="Theinhardt Light" w:hAnsi="Theinhardt Light"/>
          <w:i/>
          <w:sz w:val="24"/>
          <w:szCs w:val="24"/>
        </w:rPr>
      </w:pPr>
      <w:r w:rsidRPr="0095141B">
        <w:rPr>
          <w:rFonts w:ascii="Theinhardt Light" w:hAnsi="Theinhardt Light"/>
          <w:i/>
          <w:sz w:val="24"/>
          <w:szCs w:val="24"/>
        </w:rPr>
        <w:t>Fascynuje mnie zmienność dzisiejszego czasu. Płyniemy w czasie ruchem nie jednostajnym, ale przyspieszonym. Charakter tego ruchu ujawnia zmiany rytmem o wiele bardziej częstotliwym, niż było to kiedykolwiek w przeszłości.</w:t>
      </w:r>
    </w:p>
    <w:p w14:paraId="00000002" w14:textId="77777777" w:rsidR="00B51834" w:rsidRPr="0095141B" w:rsidRDefault="005E6A74">
      <w:pPr>
        <w:spacing w:before="240" w:after="240"/>
        <w:jc w:val="right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cytat z</w:t>
      </w:r>
      <w:r w:rsidRPr="0095141B">
        <w:rPr>
          <w:rFonts w:ascii="Theinhardt Light" w:hAnsi="Theinhardt Light"/>
          <w:sz w:val="24"/>
          <w:szCs w:val="24"/>
          <w:highlight w:val="white"/>
        </w:rPr>
        <w:t xml:space="preserve"> rękopisu </w:t>
      </w:r>
      <w:proofErr w:type="spellStart"/>
      <w:r w:rsidRPr="0095141B">
        <w:rPr>
          <w:rFonts w:ascii="Theinhardt Light" w:hAnsi="Theinhardt Light"/>
          <w:sz w:val="24"/>
          <w:szCs w:val="24"/>
          <w:highlight w:val="white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  <w:highlight w:val="white"/>
        </w:rPr>
        <w:t xml:space="preserve"> "Wojciech </w:t>
      </w:r>
      <w:proofErr w:type="spellStart"/>
      <w:r w:rsidRPr="0095141B">
        <w:rPr>
          <w:rFonts w:ascii="Theinhardt Light" w:hAnsi="Theinhardt Light"/>
          <w:sz w:val="24"/>
          <w:szCs w:val="24"/>
          <w:highlight w:val="white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  <w:highlight w:val="white"/>
        </w:rPr>
        <w:t xml:space="preserve"> o sobie", ok. 1990 r.</w:t>
      </w:r>
      <w:r w:rsidRPr="0095141B">
        <w:rPr>
          <w:rFonts w:ascii="Theinhardt Light" w:hAnsi="Theinhardt Light"/>
          <w:sz w:val="24"/>
          <w:szCs w:val="24"/>
        </w:rPr>
        <w:t xml:space="preserve"> </w:t>
      </w:r>
    </w:p>
    <w:p w14:paraId="00000005" w14:textId="2AB140FE" w:rsidR="00B51834" w:rsidRPr="0095141B" w:rsidRDefault="005E6A74" w:rsidP="00490630">
      <w:pPr>
        <w:spacing w:before="240" w:after="240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 </w:t>
      </w:r>
    </w:p>
    <w:p w14:paraId="00000006" w14:textId="0EAF0CF8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r w:rsidRPr="0095141B">
        <w:rPr>
          <w:rFonts w:ascii="Theinhardt Light" w:hAnsi="Theinhardt Light"/>
          <w:b/>
          <w:sz w:val="24"/>
          <w:szCs w:val="24"/>
        </w:rPr>
        <w:t>Wyprzedzał swój czas. Był artystą i teoretykiem</w:t>
      </w:r>
      <w:r w:rsidR="0095141B" w:rsidRPr="0095141B">
        <w:rPr>
          <w:rFonts w:ascii="Theinhardt Light" w:hAnsi="Theinhardt Light"/>
          <w:b/>
          <w:sz w:val="24"/>
          <w:szCs w:val="24"/>
        </w:rPr>
        <w:t xml:space="preserve"> sztuki, scenografem teatralnym</w:t>
      </w:r>
      <w:r w:rsidR="0095141B" w:rsidRPr="0095141B">
        <w:rPr>
          <w:rFonts w:ascii="Theinhardt Light" w:hAnsi="Theinhardt Light"/>
          <w:b/>
          <w:sz w:val="24"/>
          <w:szCs w:val="24"/>
        </w:rPr>
        <w:br/>
      </w:r>
      <w:r w:rsidRPr="0095141B">
        <w:rPr>
          <w:rFonts w:ascii="Theinhardt Light" w:hAnsi="Theinhardt Light"/>
          <w:b/>
          <w:sz w:val="24"/>
          <w:szCs w:val="24"/>
        </w:rPr>
        <w:t xml:space="preserve">i librecistą, fotografem i astronomem. Wojciech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urodził się 15 listopada 1922 roku. W ramach obchodów stulecia urodzin ar</w:t>
      </w:r>
      <w:r w:rsidR="0095141B" w:rsidRPr="0095141B">
        <w:rPr>
          <w:rFonts w:ascii="Theinhardt Light" w:hAnsi="Theinhardt Light"/>
          <w:b/>
          <w:sz w:val="24"/>
          <w:szCs w:val="24"/>
        </w:rPr>
        <w:t>tysty Muzeum Sztuki Nowoczesnej</w:t>
      </w:r>
      <w:r w:rsidR="0095141B" w:rsidRPr="0095141B">
        <w:rPr>
          <w:rFonts w:ascii="Theinhardt Light" w:hAnsi="Theinhardt Light"/>
          <w:b/>
          <w:sz w:val="24"/>
          <w:szCs w:val="24"/>
        </w:rPr>
        <w:br/>
      </w:r>
      <w:r w:rsidRPr="0095141B">
        <w:rPr>
          <w:rFonts w:ascii="Theinhardt Light" w:hAnsi="Theinhardt Light"/>
          <w:b/>
          <w:sz w:val="24"/>
          <w:szCs w:val="24"/>
        </w:rPr>
        <w:t xml:space="preserve">w Warszawie zaprasza na pierwszy pokaz rzeźby </w:t>
      </w:r>
      <w:proofErr w:type="spellStart"/>
      <w:r w:rsidRPr="0095141B">
        <w:rPr>
          <w:rFonts w:ascii="Theinhardt Light" w:hAnsi="Theinhardt Light"/>
          <w:b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– jego ostatniej pracy, oraz premierę cyfrowego Archiwum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>.</w:t>
      </w:r>
    </w:p>
    <w:p w14:paraId="00000007" w14:textId="469C8271" w:rsidR="00B51834" w:rsidRPr="0095141B" w:rsidRDefault="005E6A74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We wtorek 15 listopada 2022 roku minie dokładnie 100 lat od narodzin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. Tego dnia Muzeum Sztuki Nowoczesnej w Warszawie (MSN) zaprasza na organizowane we współpracy z Teatrem Studio oraz Galerią Studio spotkanie, podczas którego </w:t>
      </w:r>
      <w:r w:rsidRPr="0095141B">
        <w:rPr>
          <w:rFonts w:ascii="Theinhardt Light" w:hAnsi="Theinhardt Light"/>
          <w:b/>
          <w:sz w:val="24"/>
          <w:szCs w:val="24"/>
        </w:rPr>
        <w:t>po raz pierwszy będzie można zobaczyć ostatnią pracę artysty, monumentalną metalową rzeźbę. Wydarzenie będzie połączone z premierą</w:t>
      </w:r>
      <w:r w:rsidRPr="0095141B">
        <w:rPr>
          <w:rFonts w:ascii="Theinhardt Light" w:hAnsi="Theinhardt Light"/>
          <w:sz w:val="24"/>
          <w:szCs w:val="24"/>
        </w:rPr>
        <w:t xml:space="preserve"> </w:t>
      </w:r>
      <w:r w:rsidRPr="0095141B">
        <w:rPr>
          <w:rFonts w:ascii="Theinhardt Light" w:hAnsi="Theinhardt Light"/>
          <w:b/>
          <w:sz w:val="24"/>
          <w:szCs w:val="24"/>
        </w:rPr>
        <w:t xml:space="preserve">cyfrowego Archiwum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, które od tego dnia będzie dostępne na </w:t>
      </w:r>
      <w:hyperlink r:id="rId6">
        <w:r w:rsidRPr="0095141B">
          <w:rPr>
            <w:rFonts w:ascii="Theinhardt Light" w:hAnsi="Theinhardt Light"/>
            <w:b/>
            <w:sz w:val="24"/>
            <w:szCs w:val="24"/>
            <w:u w:val="single"/>
          </w:rPr>
          <w:t>stronie internetowej MSN</w:t>
        </w:r>
      </w:hyperlink>
      <w:r w:rsidR="0095141B" w:rsidRPr="0095141B">
        <w:rPr>
          <w:rFonts w:ascii="Theinhardt Light" w:hAnsi="Theinhardt Light"/>
          <w:sz w:val="24"/>
          <w:szCs w:val="24"/>
        </w:rPr>
        <w:t>. Udział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w jubileuszowym spotkaniu, które odbędzie się o godz. 18:00 we </w:t>
      </w:r>
      <w:proofErr w:type="spellStart"/>
      <w:r w:rsidRPr="0095141B">
        <w:rPr>
          <w:rFonts w:ascii="Theinhardt Light" w:hAnsi="Theinhardt Light"/>
          <w:sz w:val="24"/>
          <w:szCs w:val="24"/>
        </w:rPr>
        <w:t>foyer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Teatru Studio, zapowiedzieli m.in. Magdalena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Juliusz </w:t>
      </w:r>
      <w:proofErr w:type="spellStart"/>
      <w:r w:rsidRPr="0095141B">
        <w:rPr>
          <w:rFonts w:ascii="Theinhardt Light" w:hAnsi="Theinhardt Light"/>
          <w:sz w:val="24"/>
          <w:szCs w:val="24"/>
        </w:rPr>
        <w:t>Zamecznik</w:t>
      </w:r>
      <w:proofErr w:type="spellEnd"/>
      <w:r w:rsidRPr="0095141B">
        <w:rPr>
          <w:rFonts w:ascii="Theinhardt Light" w:hAnsi="Theinhardt Light"/>
          <w:sz w:val="24"/>
          <w:szCs w:val="24"/>
        </w:rPr>
        <w:t>, Dariusz Bieńkowski, Sławomir Górecki, Stefan Szydłowski, Piotr Wejchert i Tadeusz Rolke.</w:t>
      </w:r>
    </w:p>
    <w:p w14:paraId="00000008" w14:textId="77777777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proofErr w:type="spellStart"/>
      <w:r w:rsidRPr="0095141B">
        <w:rPr>
          <w:rFonts w:ascii="Theinhardt Light" w:hAnsi="Theinhardt Light"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to rzeźba zaprojektowana przez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w 2015 roku specjalnie dla Muzeum Sztuki Nowoczesnej w Warszawie, na krótko przed śmiercią artysty. Praca zrealizowana dokładnie według autorskiego projektu, lecz już po śmierci artysty, jeszcze nigdy nie była prezentowana publiczności. Wykonał ją dla MSN pan Andrzej Kowalczyk, wieloletni współpracownik </w:t>
      </w:r>
      <w:r w:rsidRPr="0095141B">
        <w:rPr>
          <w:rFonts w:ascii="Theinhardt Light" w:hAnsi="Theinhardt Light"/>
          <w:sz w:val="24"/>
          <w:szCs w:val="24"/>
        </w:rPr>
        <w:lastRenderedPageBreak/>
        <w:t xml:space="preserve">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. Projekty przestrzenne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zawsze cechował rozmach – od zaprojektowanego wraz z Henrykiem Tomaszewskim fryzu podczas Światowego Zjazdu Młodzieży w 1955 r. w Warszawie po dekoracje ścian II linii metra. Na specjalne zamówienie MSN-u artysta zaprojektował wysoki na niemal 4 metry przestrzenny układ liter (tytułowych „M”, „</w:t>
      </w:r>
      <w:proofErr w:type="spellStart"/>
      <w:r w:rsidRPr="0095141B">
        <w:rPr>
          <w:rFonts w:ascii="Theinhardt Light" w:hAnsi="Theinhardt Light"/>
          <w:sz w:val="24"/>
          <w:szCs w:val="24"/>
        </w:rPr>
        <w:t>Sz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” i „N”), które zostały wykonane ze stali pokrytej białą farbą, z czarną malaturą wyznaczającą wewnętrzny kontur. W ramach obchodów jubileuszu stulecia urodzin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</w:t>
      </w:r>
      <w:r w:rsidRPr="0095141B">
        <w:rPr>
          <w:rFonts w:ascii="Theinhardt Light" w:hAnsi="Theinhardt Light"/>
          <w:b/>
          <w:sz w:val="24"/>
          <w:szCs w:val="24"/>
        </w:rPr>
        <w:t xml:space="preserve">będzie można zobaczyć rzeźbę </w:t>
      </w:r>
      <w:proofErr w:type="spellStart"/>
      <w:r w:rsidRPr="0095141B">
        <w:rPr>
          <w:rFonts w:ascii="Theinhardt Light" w:hAnsi="Theinhardt Light"/>
          <w:b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przez 6 dni (od 15 do 20 listopada) na placu Defilad (w pobliżu wejścia do Teatru Studio). </w:t>
      </w:r>
      <w:proofErr w:type="spellStart"/>
      <w:r w:rsidRPr="0095141B">
        <w:rPr>
          <w:rFonts w:ascii="Theinhardt Light" w:hAnsi="Theinhardt Light"/>
          <w:i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i/>
          <w:sz w:val="24"/>
          <w:szCs w:val="24"/>
        </w:rPr>
        <w:t xml:space="preserve"> </w:t>
      </w:r>
      <w:r w:rsidRPr="0095141B">
        <w:rPr>
          <w:rFonts w:ascii="Theinhardt Light" w:hAnsi="Theinhardt Light"/>
          <w:sz w:val="24"/>
          <w:szCs w:val="24"/>
        </w:rPr>
        <w:t xml:space="preserve">zasili kolekcję Muzeum Sztuki Nowoczesnej w Warszawie, rozwijaną m.in. dzięki mecenatowi EY oraz Allegro. Miejsce ekspozycji nie jest przypadkowe – to na placu Defilad w 2024 r. otworzy się nowa siedziba Muzeum. W powstającym właśnie budynku MSN-u swoją fizyczną przestrzeń znajdzie także Archiwum Artystek i Artystów, na które składa się </w:t>
      </w:r>
      <w:r w:rsidRPr="0095141B">
        <w:rPr>
          <w:rFonts w:ascii="Theinhardt Light" w:hAnsi="Theinhardt Light"/>
          <w:b/>
          <w:sz w:val="24"/>
          <w:szCs w:val="24"/>
        </w:rPr>
        <w:t xml:space="preserve">Archiwum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 xml:space="preserve"> przekazane Muzeum przez rodzinę artysty.</w:t>
      </w:r>
    </w:p>
    <w:p w14:paraId="00000009" w14:textId="4FF0B6C8" w:rsidR="00B51834" w:rsidRPr="0095141B" w:rsidRDefault="005E6A74">
      <w:pPr>
        <w:shd w:val="clear" w:color="auto" w:fill="FFFFFF"/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Zbiór ponad 8500 obiektów pochodzi z okresu całego życia artysty. Prezentowane na stronie </w:t>
      </w:r>
      <w:hyperlink r:id="rId7">
        <w:r w:rsidRPr="0095141B">
          <w:rPr>
            <w:rFonts w:ascii="Theinhardt Light" w:hAnsi="Theinhardt Light"/>
            <w:sz w:val="24"/>
            <w:szCs w:val="24"/>
            <w:u w:val="single"/>
          </w:rPr>
          <w:t>artmuseum.pl</w:t>
        </w:r>
      </w:hyperlink>
      <w:r w:rsidRPr="0095141B">
        <w:rPr>
          <w:rFonts w:ascii="Theinhardt Light" w:hAnsi="Theinhardt Light"/>
          <w:sz w:val="24"/>
          <w:szCs w:val="24"/>
        </w:rPr>
        <w:t xml:space="preserve"> archiwum umożliwia obejrzenie po raz pierwszy </w:t>
      </w:r>
      <w:r w:rsidRPr="0095141B">
        <w:rPr>
          <w:rFonts w:ascii="Theinhardt Light" w:hAnsi="Theinhardt Light"/>
          <w:b/>
          <w:sz w:val="24"/>
          <w:szCs w:val="24"/>
        </w:rPr>
        <w:t xml:space="preserve">zdjęć niewidzianych dotąd pracowni artysty </w:t>
      </w:r>
      <w:r w:rsidRPr="0095141B">
        <w:rPr>
          <w:rFonts w:ascii="Theinhardt Light" w:hAnsi="Theinhardt Light"/>
          <w:sz w:val="24"/>
          <w:szCs w:val="24"/>
        </w:rPr>
        <w:t xml:space="preserve">ulokowanych na całym świecie: od Janówka, przez Wiedeń, Paryż, Berlin, Londyn, po Madison, Nowy Jork, </w:t>
      </w:r>
      <w:proofErr w:type="spellStart"/>
      <w:r w:rsidRPr="0095141B">
        <w:rPr>
          <w:rFonts w:ascii="Theinhardt Light" w:hAnsi="Theinhardt Light"/>
          <w:sz w:val="24"/>
          <w:szCs w:val="24"/>
        </w:rPr>
        <w:t>Summit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Santa Fe i Błędów; a także daje </w:t>
      </w:r>
      <w:r w:rsidR="0095141B" w:rsidRPr="0095141B">
        <w:rPr>
          <w:rFonts w:ascii="Theinhardt Light" w:hAnsi="Theinhardt Light"/>
          <w:b/>
          <w:sz w:val="24"/>
          <w:szCs w:val="24"/>
        </w:rPr>
        <w:t>wgląd</w:t>
      </w:r>
      <w:r w:rsidR="0095141B" w:rsidRPr="0095141B">
        <w:rPr>
          <w:rFonts w:ascii="Theinhardt Light" w:hAnsi="Theinhardt Light"/>
          <w:b/>
          <w:sz w:val="24"/>
          <w:szCs w:val="24"/>
        </w:rPr>
        <w:br/>
      </w:r>
      <w:r w:rsidRPr="0095141B">
        <w:rPr>
          <w:rFonts w:ascii="Theinhardt Light" w:hAnsi="Theinhardt Light"/>
          <w:b/>
          <w:sz w:val="24"/>
          <w:szCs w:val="24"/>
        </w:rPr>
        <w:t xml:space="preserve">w proces twórczy i szeroką refleksję teoretyczną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>. Dokumentuje również życie prywatne twórcy – dzieciństwo i młodość, z</w:t>
      </w:r>
      <w:r w:rsidR="0095141B" w:rsidRPr="0095141B">
        <w:rPr>
          <w:rFonts w:ascii="Theinhardt Light" w:hAnsi="Theinhardt Light"/>
          <w:sz w:val="24"/>
          <w:szCs w:val="24"/>
        </w:rPr>
        <w:t>najomości, przyjaźnie i relację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>z żoną.</w:t>
      </w:r>
    </w:p>
    <w:p w14:paraId="0000000A" w14:textId="3B9224CD" w:rsidR="00B51834" w:rsidRPr="0095141B" w:rsidRDefault="005E6A74">
      <w:pPr>
        <w:shd w:val="clear" w:color="auto" w:fill="FFFFFF"/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Przekazane MSN-owi dokumenty i obiekty opracował badacz Maciej </w:t>
      </w:r>
      <w:proofErr w:type="spellStart"/>
      <w:r w:rsidRPr="0095141B">
        <w:rPr>
          <w:rFonts w:ascii="Theinhardt Light" w:hAnsi="Theinhardt Light"/>
          <w:sz w:val="24"/>
          <w:szCs w:val="24"/>
        </w:rPr>
        <w:t>Harland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-Parzydło. Archiwum dzieli się na kilka części. W </w:t>
      </w:r>
      <w:r w:rsidRPr="0095141B">
        <w:rPr>
          <w:rFonts w:ascii="Theinhardt Light" w:hAnsi="Theinhardt Light"/>
          <w:b/>
          <w:sz w:val="24"/>
          <w:szCs w:val="24"/>
        </w:rPr>
        <w:t>„Pracach autonomicznych/Pracach zleconych”</w:t>
      </w:r>
      <w:r w:rsidRPr="0095141B">
        <w:rPr>
          <w:rFonts w:ascii="Theinhardt Light" w:hAnsi="Theinhardt Light"/>
          <w:sz w:val="24"/>
          <w:szCs w:val="24"/>
        </w:rPr>
        <w:t xml:space="preserve"> oprócz archiwaliów dotyczących realizacji z zakresu architektury wystawienniczej i malarstwa monumentalnego znajdziemy dokumentację fotograficzną i rysunki założeniowe do prac przestrzennych, np. monumentalnej mozaiki dla Jerozolimy.</w:t>
      </w:r>
      <w:r w:rsidRPr="0095141B">
        <w:rPr>
          <w:rFonts w:ascii="Theinhardt Light" w:hAnsi="Theinhardt Light"/>
          <w:b/>
          <w:sz w:val="24"/>
          <w:szCs w:val="24"/>
        </w:rPr>
        <w:t xml:space="preserve"> „Projekty” </w:t>
      </w:r>
      <w:r w:rsidRPr="0095141B">
        <w:rPr>
          <w:rFonts w:ascii="Theinhardt Light" w:hAnsi="Theinhardt Light"/>
          <w:sz w:val="24"/>
          <w:szCs w:val="24"/>
        </w:rPr>
        <w:t xml:space="preserve">obejmują aktywność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jako scenografa teatralnego, librecisty, fotografa, astronoma, animatora czy innowatora. </w:t>
      </w:r>
      <w:r w:rsidRPr="0095141B">
        <w:rPr>
          <w:rFonts w:ascii="Theinhardt Light" w:hAnsi="Theinhardt Light"/>
          <w:b/>
          <w:sz w:val="24"/>
          <w:szCs w:val="24"/>
        </w:rPr>
        <w:t xml:space="preserve">„Wystawy” </w:t>
      </w:r>
      <w:r w:rsidRPr="0095141B">
        <w:rPr>
          <w:rFonts w:ascii="Theinhardt Light" w:hAnsi="Theinhardt Light"/>
          <w:sz w:val="24"/>
          <w:szCs w:val="24"/>
        </w:rPr>
        <w:t xml:space="preserve">prezentują kluczową dla niego dekadę lat 60. XX w., kiedy stał się artystą o międzynarodowym statusie, m.in. dzięki scalającej ruch </w:t>
      </w:r>
      <w:proofErr w:type="spellStart"/>
      <w:r w:rsidRPr="0095141B">
        <w:rPr>
          <w:rFonts w:ascii="Theinhardt Light" w:hAnsi="Theinhardt Light"/>
          <w:sz w:val="24"/>
          <w:szCs w:val="24"/>
        </w:rPr>
        <w:t>Op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Art wystawie </w:t>
      </w:r>
      <w:r w:rsidRPr="0095141B">
        <w:rPr>
          <w:rFonts w:ascii="Theinhardt Light" w:hAnsi="Theinhardt Light"/>
          <w:i/>
          <w:sz w:val="24"/>
          <w:szCs w:val="24"/>
        </w:rPr>
        <w:t xml:space="preserve">The </w:t>
      </w:r>
      <w:proofErr w:type="spellStart"/>
      <w:r w:rsidRPr="0095141B">
        <w:rPr>
          <w:rFonts w:ascii="Theinhardt Light" w:hAnsi="Theinhardt Light"/>
          <w:i/>
          <w:sz w:val="24"/>
          <w:szCs w:val="24"/>
        </w:rPr>
        <w:t>Responsive</w:t>
      </w:r>
      <w:proofErr w:type="spellEnd"/>
      <w:r w:rsidRPr="0095141B">
        <w:rPr>
          <w:rFonts w:ascii="Theinhardt Light" w:hAnsi="Theinhardt Light"/>
          <w:i/>
          <w:sz w:val="24"/>
          <w:szCs w:val="24"/>
        </w:rPr>
        <w:t xml:space="preserve"> </w:t>
      </w:r>
      <w:proofErr w:type="spellStart"/>
      <w:r w:rsidRPr="0095141B">
        <w:rPr>
          <w:rFonts w:ascii="Theinhardt Light" w:hAnsi="Theinhardt Light"/>
          <w:i/>
          <w:sz w:val="24"/>
          <w:szCs w:val="24"/>
        </w:rPr>
        <w:t>Eye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w </w:t>
      </w:r>
      <w:proofErr w:type="spellStart"/>
      <w:r w:rsidRPr="0095141B">
        <w:rPr>
          <w:rFonts w:ascii="Theinhardt Light" w:hAnsi="Theinhardt Light"/>
          <w:sz w:val="24"/>
          <w:szCs w:val="24"/>
        </w:rPr>
        <w:t>Museum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of Modern Art czy mono</w:t>
      </w:r>
      <w:r w:rsidR="0095141B" w:rsidRPr="0095141B">
        <w:rPr>
          <w:rFonts w:ascii="Theinhardt Light" w:hAnsi="Theinhardt Light"/>
          <w:sz w:val="24"/>
          <w:szCs w:val="24"/>
        </w:rPr>
        <w:t>graficznej ekspozycji w Solomon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R. Guggenheim </w:t>
      </w:r>
      <w:proofErr w:type="spellStart"/>
      <w:r w:rsidRPr="0095141B">
        <w:rPr>
          <w:rFonts w:ascii="Theinhardt Light" w:hAnsi="Theinhardt Light"/>
          <w:sz w:val="24"/>
          <w:szCs w:val="24"/>
        </w:rPr>
        <w:t>Museum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w Nowym Jorku i zawierają zaproszenia, katalogi i dokumentację fotograficzną ekspozycji. </w:t>
      </w:r>
      <w:r w:rsidRPr="0095141B">
        <w:rPr>
          <w:rFonts w:ascii="Theinhardt Light" w:hAnsi="Theinhardt Light"/>
          <w:b/>
          <w:sz w:val="24"/>
          <w:szCs w:val="24"/>
        </w:rPr>
        <w:t>„Fotografie” i „Korespondencja”</w:t>
      </w:r>
      <w:r w:rsidRPr="0095141B">
        <w:rPr>
          <w:rFonts w:ascii="Theinhardt Light" w:hAnsi="Theinhardt Light"/>
          <w:sz w:val="24"/>
          <w:szCs w:val="24"/>
        </w:rPr>
        <w:t xml:space="preserve"> ukazują zarówno przestrzenie życia artystycznego, jak i kulisy codzienności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który funkcjonował w sieci relacji zawodowych i towarzysko-prywatnych z takimi twórcami jak Josef </w:t>
      </w:r>
      <w:proofErr w:type="spellStart"/>
      <w:r w:rsidRPr="0095141B">
        <w:rPr>
          <w:rFonts w:ascii="Theinhardt Light" w:hAnsi="Theinhardt Light"/>
          <w:sz w:val="24"/>
          <w:szCs w:val="24"/>
        </w:rPr>
        <w:t>Albers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Jan Lenica, Jerzy </w:t>
      </w:r>
      <w:proofErr w:type="spellStart"/>
      <w:r w:rsidRPr="0095141B">
        <w:rPr>
          <w:rFonts w:ascii="Theinhardt Light" w:hAnsi="Theinhardt Light"/>
          <w:sz w:val="24"/>
          <w:szCs w:val="24"/>
        </w:rPr>
        <w:t>Sołtan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Alina Szapocznikow, Henryk Tomaszewski; kuratorami:  Thomasem </w:t>
      </w:r>
      <w:proofErr w:type="spellStart"/>
      <w:r w:rsidRPr="0095141B">
        <w:rPr>
          <w:rFonts w:ascii="Theinhardt Light" w:hAnsi="Theinhardt Light"/>
          <w:sz w:val="24"/>
          <w:szCs w:val="24"/>
        </w:rPr>
        <w:t>Messerem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Williamem </w:t>
      </w:r>
      <w:proofErr w:type="spellStart"/>
      <w:r w:rsidRPr="0095141B">
        <w:rPr>
          <w:rFonts w:ascii="Theinhardt Light" w:hAnsi="Theinhardt Light"/>
          <w:sz w:val="24"/>
          <w:szCs w:val="24"/>
        </w:rPr>
        <w:t>Seitzem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Clementem </w:t>
      </w:r>
      <w:proofErr w:type="spellStart"/>
      <w:r w:rsidRPr="0095141B">
        <w:rPr>
          <w:rFonts w:ascii="Theinhardt Light" w:hAnsi="Theinhardt Light"/>
          <w:sz w:val="24"/>
          <w:szCs w:val="24"/>
        </w:rPr>
        <w:t>Greenbergem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Peterem </w:t>
      </w:r>
      <w:proofErr w:type="spellStart"/>
      <w:r w:rsidRPr="0095141B">
        <w:rPr>
          <w:rFonts w:ascii="Theinhardt Light" w:hAnsi="Theinhardt Light"/>
          <w:sz w:val="24"/>
          <w:szCs w:val="24"/>
        </w:rPr>
        <w:t>Selzem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95141B">
        <w:rPr>
          <w:rFonts w:ascii="Theinhardt Light" w:hAnsi="Theinhardt Light"/>
          <w:sz w:val="24"/>
          <w:szCs w:val="24"/>
        </w:rPr>
        <w:t>Willemem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95141B">
        <w:rPr>
          <w:rFonts w:ascii="Theinhardt Light" w:hAnsi="Theinhardt Light"/>
          <w:sz w:val="24"/>
          <w:szCs w:val="24"/>
        </w:rPr>
        <w:t>Sandbergem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Udo </w:t>
      </w:r>
      <w:proofErr w:type="spellStart"/>
      <w:r w:rsidRPr="0095141B">
        <w:rPr>
          <w:rFonts w:ascii="Theinhardt Light" w:hAnsi="Theinhardt Light"/>
          <w:sz w:val="24"/>
          <w:szCs w:val="24"/>
        </w:rPr>
        <w:t>Kultermanem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; kolekcjonerami i </w:t>
      </w:r>
      <w:proofErr w:type="spellStart"/>
      <w:r w:rsidRPr="0095141B">
        <w:rPr>
          <w:rFonts w:ascii="Theinhardt Light" w:hAnsi="Theinhardt Light"/>
          <w:sz w:val="24"/>
          <w:szCs w:val="24"/>
        </w:rPr>
        <w:t>galerzystami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– Beatrice Perry, Rudolfem Springerem, Josephem </w:t>
      </w:r>
      <w:proofErr w:type="spellStart"/>
      <w:r w:rsidRPr="0095141B">
        <w:rPr>
          <w:rFonts w:ascii="Theinhardt Light" w:hAnsi="Theinhardt Light"/>
          <w:sz w:val="24"/>
          <w:szCs w:val="24"/>
        </w:rPr>
        <w:t>Slaterem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Ewą </w:t>
      </w:r>
      <w:proofErr w:type="spellStart"/>
      <w:r w:rsidRPr="0095141B">
        <w:rPr>
          <w:rFonts w:ascii="Theinhardt Light" w:hAnsi="Theinhardt Light"/>
          <w:sz w:val="24"/>
          <w:szCs w:val="24"/>
        </w:rPr>
        <w:t>Pape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Arturem </w:t>
      </w:r>
      <w:proofErr w:type="spellStart"/>
      <w:r w:rsidRPr="0095141B">
        <w:rPr>
          <w:rFonts w:ascii="Theinhardt Light" w:hAnsi="Theinhardt Light"/>
          <w:sz w:val="24"/>
          <w:szCs w:val="24"/>
        </w:rPr>
        <w:t>Lejwą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oraz n</w:t>
      </w:r>
      <w:r w:rsidR="0095141B" w:rsidRPr="0095141B">
        <w:rPr>
          <w:rFonts w:ascii="Theinhardt Light" w:hAnsi="Theinhardt Light"/>
          <w:sz w:val="24"/>
          <w:szCs w:val="24"/>
        </w:rPr>
        <w:t>aukowcami:   Edwardem T. Hallem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i Janem Mycielskim. Znamienną rolę w życiu artysty odegrała jego </w:t>
      </w:r>
      <w:r w:rsidRPr="0095141B">
        <w:rPr>
          <w:rFonts w:ascii="Theinhardt Light" w:hAnsi="Theinhardt Light"/>
          <w:b/>
          <w:sz w:val="24"/>
          <w:szCs w:val="24"/>
        </w:rPr>
        <w:t xml:space="preserve">żona, także artystka, </w:t>
      </w:r>
      <w:r w:rsidRPr="0095141B">
        <w:rPr>
          <w:rFonts w:ascii="Theinhardt Light" w:hAnsi="Theinhardt Light"/>
          <w:b/>
          <w:sz w:val="24"/>
          <w:szCs w:val="24"/>
        </w:rPr>
        <w:lastRenderedPageBreak/>
        <w:t xml:space="preserve">Magdalena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</w:rPr>
        <w:t>, z którą łączyła go pełna czułości relacja i partnerska współpraca twórcza. W poświęconym jej dziale prezentowane są prywatne fotografie artystki, dedykowanej jej rysunki i listy.</w:t>
      </w:r>
    </w:p>
    <w:p w14:paraId="0000000B" w14:textId="77777777" w:rsidR="00B51834" w:rsidRPr="0095141B" w:rsidRDefault="005E6A74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 xml:space="preserve">Przez blisko 70 lat intensywnej pracy twórczej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zawsze był w artystycznej forpoczcie, inspirując, współtworząc nowe kierunki, realizując dzieła, które wpisały się w kanon zachodniej sztuki współczesnej. Na początku swojej artystycznej drogi malował w duchu socrealizmu – m.in. </w:t>
      </w:r>
      <w:r w:rsidRPr="0095141B">
        <w:rPr>
          <w:rFonts w:ascii="Theinhardt Light" w:hAnsi="Theinhardt Light"/>
          <w:i/>
          <w:sz w:val="24"/>
          <w:szCs w:val="24"/>
        </w:rPr>
        <w:t>Postaci</w:t>
      </w:r>
      <w:r w:rsidRPr="0095141B">
        <w:rPr>
          <w:rFonts w:ascii="Theinhardt Light" w:hAnsi="Theinhardt Light"/>
          <w:sz w:val="24"/>
          <w:szCs w:val="24"/>
        </w:rPr>
        <w:t xml:space="preserve">, </w:t>
      </w:r>
      <w:r w:rsidRPr="0095141B">
        <w:rPr>
          <w:rFonts w:ascii="Theinhardt Light" w:hAnsi="Theinhardt Light"/>
          <w:i/>
          <w:sz w:val="24"/>
          <w:szCs w:val="24"/>
        </w:rPr>
        <w:t>Matkę Koreankę</w:t>
      </w:r>
      <w:r w:rsidRPr="0095141B">
        <w:rPr>
          <w:rFonts w:ascii="Theinhardt Light" w:hAnsi="Theinhardt Light"/>
          <w:sz w:val="24"/>
          <w:szCs w:val="24"/>
        </w:rPr>
        <w:t xml:space="preserve"> czy </w:t>
      </w:r>
      <w:r w:rsidRPr="0095141B">
        <w:rPr>
          <w:rFonts w:ascii="Theinhardt Light" w:hAnsi="Theinhardt Light"/>
          <w:i/>
          <w:sz w:val="24"/>
          <w:szCs w:val="24"/>
        </w:rPr>
        <w:t>Lenina w Poroninie</w:t>
      </w:r>
      <w:r w:rsidRPr="0095141B">
        <w:rPr>
          <w:rFonts w:ascii="Theinhardt Light" w:hAnsi="Theinhardt Light"/>
          <w:sz w:val="24"/>
          <w:szCs w:val="24"/>
        </w:rPr>
        <w:t xml:space="preserve"> – po czym zaczął szczególnie intensywnie eksplorować relację między obrazem a odbiorcą, a także przestrzeń jako materię artystyczną. Współpracował z czołowymi polskimi architektami, takimi jak Jerzy </w:t>
      </w:r>
      <w:proofErr w:type="spellStart"/>
      <w:r w:rsidRPr="0095141B">
        <w:rPr>
          <w:rFonts w:ascii="Theinhardt Light" w:hAnsi="Theinhardt Light"/>
          <w:sz w:val="24"/>
          <w:szCs w:val="24"/>
        </w:rPr>
        <w:t>Sołtan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, Oskar Hansen i Wojciech </w:t>
      </w:r>
      <w:proofErr w:type="spellStart"/>
      <w:r w:rsidRPr="0095141B">
        <w:rPr>
          <w:rFonts w:ascii="Theinhardt Light" w:hAnsi="Theinhardt Light"/>
          <w:sz w:val="24"/>
          <w:szCs w:val="24"/>
        </w:rPr>
        <w:t>Zamecznik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. Legendarną już wystawę </w:t>
      </w:r>
      <w:r w:rsidRPr="0095141B">
        <w:rPr>
          <w:rFonts w:ascii="Theinhardt Light" w:hAnsi="Theinhardt Light"/>
          <w:i/>
          <w:sz w:val="24"/>
          <w:szCs w:val="24"/>
        </w:rPr>
        <w:t>Studium przestrzeni</w:t>
      </w:r>
      <w:r w:rsidRPr="0095141B">
        <w:rPr>
          <w:rFonts w:ascii="Theinhardt Light" w:hAnsi="Theinhardt Light"/>
          <w:sz w:val="24"/>
          <w:szCs w:val="24"/>
        </w:rPr>
        <w:t xml:space="preserve"> w Salonie Nowej Kultury w Warszawie w 1958 r. przygotował właśnie z </w:t>
      </w:r>
      <w:proofErr w:type="spellStart"/>
      <w:r w:rsidRPr="0095141B">
        <w:rPr>
          <w:rFonts w:ascii="Theinhardt Light" w:hAnsi="Theinhardt Light"/>
          <w:sz w:val="24"/>
          <w:szCs w:val="24"/>
        </w:rPr>
        <w:t>Zamecznikiem</w:t>
      </w:r>
      <w:proofErr w:type="spellEnd"/>
      <w:r w:rsidRPr="0095141B">
        <w:rPr>
          <w:rFonts w:ascii="Theinhardt Light" w:hAnsi="Theinhardt Light"/>
          <w:sz w:val="24"/>
          <w:szCs w:val="24"/>
        </w:rPr>
        <w:t>. Jako twórca wszechstronny nie rezygnował z fotografii, rysunku czy plakatu, stając się współtwórcą Polskiej Szkoły Plakatu.</w:t>
      </w:r>
    </w:p>
    <w:p w14:paraId="0000000C" w14:textId="7695345E" w:rsidR="00B51834" w:rsidRPr="0095141B" w:rsidRDefault="005E6A74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Ponad 30 lat spędził w USA, gdzie stworzył swo</w:t>
      </w:r>
      <w:r w:rsidR="0095141B" w:rsidRPr="0095141B">
        <w:rPr>
          <w:rFonts w:ascii="Theinhardt Light" w:hAnsi="Theinhardt Light"/>
          <w:sz w:val="24"/>
          <w:szCs w:val="24"/>
        </w:rPr>
        <w:t>je najsłynniejsze cykle obrazów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 xml:space="preserve">z charakterystycznymi falami i kołami, dziś traktowane jako zapowiedź </w:t>
      </w:r>
      <w:proofErr w:type="spellStart"/>
      <w:r w:rsidRPr="0095141B">
        <w:rPr>
          <w:rFonts w:ascii="Theinhardt Light" w:hAnsi="Theinhardt Light"/>
          <w:sz w:val="24"/>
          <w:szCs w:val="24"/>
        </w:rPr>
        <w:t>minimal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95141B">
        <w:rPr>
          <w:rFonts w:ascii="Theinhardt Light" w:hAnsi="Theinhardt Light"/>
          <w:sz w:val="24"/>
          <w:szCs w:val="24"/>
        </w:rPr>
        <w:t>artu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i op-artu oraz serie prac figuratywnych, studia wnętrz obrazy tzw. „telewizyjne”, konsekwentnie podążając za fascynacją przestrzenią. W 1999 r. wrócił do Polski i w </w:t>
      </w:r>
      <w:proofErr w:type="spellStart"/>
      <w:r w:rsidRPr="0095141B">
        <w:rPr>
          <w:rFonts w:ascii="Theinhardt Light" w:hAnsi="Theinhardt Light"/>
          <w:sz w:val="24"/>
          <w:szCs w:val="24"/>
        </w:rPr>
        <w:t>podradomskim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Błędowie nadal intensywnie pracował, tym razem wracał </w:t>
      </w:r>
      <w:r w:rsidR="0095141B" w:rsidRPr="0095141B">
        <w:rPr>
          <w:rFonts w:ascii="Theinhardt Light" w:hAnsi="Theinhardt Light"/>
          <w:sz w:val="24"/>
          <w:szCs w:val="24"/>
        </w:rPr>
        <w:t>do własnych rysunków z młodości</w:t>
      </w:r>
      <w:r w:rsidR="0095141B" w:rsidRPr="0095141B">
        <w:rPr>
          <w:rFonts w:ascii="Theinhardt Light" w:hAnsi="Theinhardt Light"/>
          <w:sz w:val="24"/>
          <w:szCs w:val="24"/>
        </w:rPr>
        <w:br/>
      </w:r>
      <w:r w:rsidRPr="0095141B">
        <w:rPr>
          <w:rFonts w:ascii="Theinhardt Light" w:hAnsi="Theinhardt Light"/>
          <w:sz w:val="24"/>
          <w:szCs w:val="24"/>
        </w:rPr>
        <w:t>i w oparciu o nie przygotowywał „obrazy palimpsestowe”. Nigdy nie zrezygnował z projektów przestrzennych – dla Warszawy zaprojektował elementy II linii metra, w tym monumentalne dekoracje na ścianach stacji. Znamienne, że jego ostatnią pracą była właśnie rzeźba, którą Muzeum Sztuki Nowoczesnej w stulecie urodzin artysty po raz pierwszy zaprezentuje publiczności.</w:t>
      </w:r>
    </w:p>
    <w:p w14:paraId="0000000D" w14:textId="77777777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r w:rsidRPr="0095141B">
        <w:rPr>
          <w:rFonts w:ascii="Theinhardt Light" w:hAnsi="Theinhardt Light"/>
          <w:b/>
          <w:sz w:val="24"/>
          <w:szCs w:val="24"/>
        </w:rPr>
        <w:t xml:space="preserve">Obchody jubileuszu stulecia urodzin Wojciecha </w:t>
      </w:r>
      <w:proofErr w:type="spellStart"/>
      <w:r w:rsidRPr="0095141B">
        <w:rPr>
          <w:rFonts w:ascii="Theinhardt Light" w:hAnsi="Theinhardt Light"/>
          <w:b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b/>
          <w:sz w:val="24"/>
          <w:szCs w:val="24"/>
        </w:rPr>
        <w:t>:</w:t>
      </w:r>
    </w:p>
    <w:p w14:paraId="0000000E" w14:textId="6406B3D2" w:rsidR="00B51834" w:rsidRPr="0095141B" w:rsidRDefault="005E6A74">
      <w:pPr>
        <w:spacing w:before="240" w:after="240"/>
        <w:ind w:left="360"/>
        <w:jc w:val="both"/>
        <w:rPr>
          <w:rFonts w:ascii="Theinhardt Light" w:hAnsi="Theinhardt Light"/>
          <w:sz w:val="24"/>
          <w:szCs w:val="24"/>
          <w:u w:val="single"/>
        </w:rPr>
      </w:pPr>
      <w:r w:rsidRPr="0095141B">
        <w:rPr>
          <w:rFonts w:ascii="Theinhardt Light" w:hAnsi="Theinhardt Light"/>
          <w:sz w:val="24"/>
          <w:szCs w:val="24"/>
        </w:rPr>
        <w:t>·</w:t>
      </w:r>
      <w:r w:rsidRPr="0095141B">
        <w:rPr>
          <w:rFonts w:ascii="Theinhardt Light" w:eastAsia="Times New Roman" w:hAnsi="Theinhardt Light" w:cs="Times New Roman"/>
          <w:sz w:val="24"/>
          <w:szCs w:val="24"/>
        </w:rPr>
        <w:t xml:space="preserve">       </w:t>
      </w:r>
      <w:r w:rsidRPr="0095141B">
        <w:rPr>
          <w:rFonts w:ascii="Theinhardt Light" w:hAnsi="Theinhardt Light"/>
          <w:sz w:val="24"/>
          <w:szCs w:val="24"/>
        </w:rPr>
        <w:t xml:space="preserve">15 listopada 2022 r., godz. 18:00: spotkanie w Teatrze Studio, premiera Archiwum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na stronie</w:t>
      </w:r>
      <w:hyperlink r:id="rId8">
        <w:r w:rsidRPr="0095141B">
          <w:rPr>
            <w:rFonts w:ascii="Theinhardt Light" w:hAnsi="Theinhardt Light"/>
            <w:sz w:val="24"/>
            <w:szCs w:val="24"/>
          </w:rPr>
          <w:t xml:space="preserve"> </w:t>
        </w:r>
      </w:hyperlink>
      <w:hyperlink r:id="rId9">
        <w:r w:rsidRPr="0095141B">
          <w:rPr>
            <w:rFonts w:ascii="Theinhardt Light" w:hAnsi="Theinhardt Light"/>
            <w:sz w:val="24"/>
            <w:szCs w:val="24"/>
            <w:u w:val="single"/>
          </w:rPr>
          <w:t>artmuseum.pl</w:t>
        </w:r>
      </w:hyperlink>
    </w:p>
    <w:p w14:paraId="00000010" w14:textId="5C0D4B1C" w:rsidR="00B51834" w:rsidRPr="0095141B" w:rsidRDefault="005E6A74" w:rsidP="0095141B">
      <w:pPr>
        <w:spacing w:before="240" w:after="240"/>
        <w:ind w:left="36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·</w:t>
      </w:r>
      <w:r w:rsidRPr="0095141B">
        <w:rPr>
          <w:rFonts w:ascii="Theinhardt Light" w:eastAsia="Times New Roman" w:hAnsi="Theinhardt Light" w:cs="Times New Roman"/>
          <w:sz w:val="24"/>
          <w:szCs w:val="24"/>
        </w:rPr>
        <w:t xml:space="preserve">       </w:t>
      </w:r>
      <w:r w:rsidRPr="0095141B">
        <w:rPr>
          <w:rFonts w:ascii="Theinhardt Light" w:hAnsi="Theinhardt Light"/>
          <w:sz w:val="24"/>
          <w:szCs w:val="24"/>
        </w:rPr>
        <w:t xml:space="preserve">15–20 listopada 2022 r.: ekspozycja ostatniej rzeźby Wojciecha </w:t>
      </w:r>
      <w:proofErr w:type="spellStart"/>
      <w:r w:rsidRPr="0095141B">
        <w:rPr>
          <w:rFonts w:ascii="Theinhardt Light" w:hAnsi="Theinhardt Light"/>
          <w:sz w:val="24"/>
          <w:szCs w:val="24"/>
        </w:rPr>
        <w:t>Fangora</w:t>
      </w:r>
      <w:proofErr w:type="spellEnd"/>
      <w:r w:rsidRPr="0095141B">
        <w:rPr>
          <w:rFonts w:ascii="Theinhardt Light" w:hAnsi="Theinhardt Light"/>
          <w:sz w:val="24"/>
          <w:szCs w:val="24"/>
        </w:rPr>
        <w:t xml:space="preserve"> „</w:t>
      </w:r>
      <w:proofErr w:type="spellStart"/>
      <w:r w:rsidRPr="0095141B">
        <w:rPr>
          <w:rFonts w:ascii="Theinhardt Light" w:hAnsi="Theinhardt Light"/>
          <w:sz w:val="24"/>
          <w:szCs w:val="24"/>
        </w:rPr>
        <w:t>MSzN</w:t>
      </w:r>
      <w:proofErr w:type="spellEnd"/>
      <w:r w:rsidRPr="0095141B">
        <w:rPr>
          <w:rFonts w:ascii="Theinhardt Light" w:hAnsi="Theinhardt Light"/>
          <w:sz w:val="24"/>
          <w:szCs w:val="24"/>
        </w:rPr>
        <w:t>” na placu Defilad w Warszawie</w:t>
      </w:r>
    </w:p>
    <w:p w14:paraId="31373511" w14:textId="77777777" w:rsidR="0095141B" w:rsidRDefault="0095141B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</w:p>
    <w:p w14:paraId="00000011" w14:textId="37F79C62" w:rsidR="00B51834" w:rsidRPr="0095141B" w:rsidRDefault="005E6A74">
      <w:pPr>
        <w:spacing w:before="240" w:after="240"/>
        <w:jc w:val="both"/>
        <w:rPr>
          <w:rFonts w:ascii="Theinhardt Light" w:hAnsi="Theinhardt Light"/>
          <w:b/>
          <w:sz w:val="24"/>
          <w:szCs w:val="24"/>
        </w:rPr>
      </w:pPr>
      <w:r w:rsidRPr="0095141B">
        <w:rPr>
          <w:rFonts w:ascii="Theinhardt Light" w:hAnsi="Theinhardt Light"/>
          <w:b/>
          <w:sz w:val="24"/>
          <w:szCs w:val="24"/>
        </w:rPr>
        <w:t>Kontakt dla mediów:</w:t>
      </w:r>
    </w:p>
    <w:p w14:paraId="00000016" w14:textId="6FDF66E8" w:rsidR="00B51834" w:rsidRDefault="005E6A74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 w:rsidRPr="0095141B">
        <w:rPr>
          <w:rFonts w:ascii="Theinhardt Light" w:hAnsi="Theinhardt Light"/>
          <w:sz w:val="24"/>
          <w:szCs w:val="24"/>
        </w:rPr>
        <w:t>Marta Bartkowska</w:t>
      </w:r>
      <w:r w:rsidR="0095141B" w:rsidRPr="0095141B">
        <w:rPr>
          <w:rFonts w:ascii="Theinhardt Light" w:hAnsi="Theinhardt Light"/>
          <w:sz w:val="24"/>
          <w:szCs w:val="24"/>
        </w:rPr>
        <w:t xml:space="preserve"> / marta.bartkowska@artmuseum.pl /  </w:t>
      </w:r>
      <w:r w:rsidRPr="0095141B">
        <w:rPr>
          <w:rFonts w:ascii="Theinhardt Light" w:hAnsi="Theinhardt Light"/>
          <w:sz w:val="24"/>
          <w:szCs w:val="24"/>
        </w:rPr>
        <w:t>+48 501 275</w:t>
      </w:r>
      <w:r w:rsidR="00E25CE1">
        <w:rPr>
          <w:rFonts w:ascii="Theinhardt Light" w:hAnsi="Theinhardt Light"/>
          <w:sz w:val="24"/>
          <w:szCs w:val="24"/>
        </w:rPr>
        <w:t> </w:t>
      </w:r>
      <w:r w:rsidRPr="0095141B">
        <w:rPr>
          <w:rFonts w:ascii="Theinhardt Light" w:hAnsi="Theinhardt Light"/>
          <w:sz w:val="24"/>
          <w:szCs w:val="24"/>
        </w:rPr>
        <w:t>126</w:t>
      </w:r>
    </w:p>
    <w:p w14:paraId="2990DE25" w14:textId="09E86E48" w:rsidR="0095141B" w:rsidRDefault="00E25CE1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  <w:r>
        <w:rPr>
          <w:rFonts w:ascii="Theinhardt Light" w:hAnsi="Theinhardt Light"/>
          <w:sz w:val="24"/>
          <w:szCs w:val="24"/>
        </w:rPr>
        <w:t>Materiały prasowe:</w:t>
      </w:r>
      <w:r w:rsidRPr="00E25CE1">
        <w:rPr>
          <w:rFonts w:ascii="Theinhardt Light" w:hAnsi="Theinhardt Light"/>
          <w:sz w:val="24"/>
          <w:szCs w:val="24"/>
        </w:rPr>
        <w:t xml:space="preserve"> </w:t>
      </w:r>
      <w:hyperlink r:id="rId10" w:history="1">
        <w:r w:rsidRPr="00E25CE1">
          <w:rPr>
            <w:rStyle w:val="Hipercze"/>
            <w:rFonts w:ascii="Theinhardt Light" w:hAnsi="Theinhardt Light"/>
            <w:color w:val="auto"/>
            <w:sz w:val="24"/>
            <w:szCs w:val="24"/>
          </w:rPr>
          <w:t>prasa.artmuseum.pl</w:t>
        </w:r>
      </w:hyperlink>
    </w:p>
    <w:p w14:paraId="334E951A" w14:textId="68BAE288" w:rsidR="00E25CE1" w:rsidRDefault="00E25CE1" w:rsidP="0095141B">
      <w:pPr>
        <w:spacing w:before="240" w:after="240"/>
        <w:jc w:val="both"/>
        <w:rPr>
          <w:rFonts w:ascii="Theinhardt Light" w:hAnsi="Theinhardt Light"/>
          <w:sz w:val="24"/>
          <w:szCs w:val="24"/>
        </w:rPr>
      </w:pPr>
    </w:p>
    <w:p w14:paraId="64915E4F" w14:textId="37DBF3E9" w:rsidR="00E25CE1" w:rsidRPr="00E25CE1" w:rsidRDefault="00E25CE1" w:rsidP="00E25CE1">
      <w:pPr>
        <w:rPr>
          <w:rFonts w:ascii="Theinhardt Light" w:hAnsi="Theinhardt Light"/>
        </w:rPr>
      </w:pPr>
    </w:p>
    <w:p w14:paraId="6874E1F3" w14:textId="1E3DFCCF" w:rsidR="00E25CE1" w:rsidRPr="00AF6E1A" w:rsidRDefault="00E25CE1" w:rsidP="00E25CE1">
      <w:pPr>
        <w:rPr>
          <w:rFonts w:ascii="Theinhardt Light" w:hAnsi="Theinhardt Light"/>
          <w:sz w:val="24"/>
          <w:szCs w:val="24"/>
        </w:rPr>
      </w:pPr>
      <w:r w:rsidRPr="00AF6E1A">
        <w:rPr>
          <w:rFonts w:ascii="Theinhardt Light" w:hAnsi="Theinhardt Light"/>
          <w:sz w:val="24"/>
          <w:szCs w:val="24"/>
        </w:rPr>
        <w:t>Specjalne podziękowania zechcą przyjąć:</w:t>
      </w:r>
    </w:p>
    <w:p w14:paraId="670D16B2" w14:textId="019EF4E2" w:rsidR="00E25CE1" w:rsidRPr="00AF6E1A" w:rsidRDefault="00E25CE1" w:rsidP="00E25CE1">
      <w:pPr>
        <w:rPr>
          <w:rFonts w:ascii="Theinhardt Light" w:hAnsi="Theinhardt Light"/>
          <w:sz w:val="24"/>
          <w:szCs w:val="24"/>
        </w:rPr>
      </w:pPr>
      <w:r w:rsidRPr="00AF6E1A">
        <w:rPr>
          <w:rFonts w:ascii="Theinhardt Light" w:hAnsi="Theinhardt Light"/>
          <w:sz w:val="24"/>
          <w:szCs w:val="24"/>
        </w:rPr>
        <w:t xml:space="preserve">Magdalena </w:t>
      </w:r>
      <w:proofErr w:type="spellStart"/>
      <w:r w:rsidRPr="00AF6E1A">
        <w:rPr>
          <w:rFonts w:ascii="Theinhardt Light" w:hAnsi="Theinhardt Light"/>
          <w:sz w:val="24"/>
          <w:szCs w:val="24"/>
        </w:rPr>
        <w:t>Fangor</w:t>
      </w:r>
      <w:proofErr w:type="spellEnd"/>
      <w:r w:rsidRPr="00AF6E1A">
        <w:rPr>
          <w:rFonts w:ascii="Theinhardt Light" w:hAnsi="Theinhardt Light"/>
          <w:sz w:val="24"/>
          <w:szCs w:val="24"/>
        </w:rPr>
        <w:t xml:space="preserve">, Piotr Patkowski i Fundacja Promocji Twórczości Wojciecha </w:t>
      </w:r>
      <w:proofErr w:type="spellStart"/>
      <w:r w:rsidRPr="00AF6E1A">
        <w:rPr>
          <w:rFonts w:ascii="Theinhardt Light" w:hAnsi="Theinhardt Light"/>
          <w:sz w:val="24"/>
          <w:szCs w:val="24"/>
        </w:rPr>
        <w:t>Fangora</w:t>
      </w:r>
      <w:proofErr w:type="spellEnd"/>
      <w:r w:rsidRPr="00AF6E1A">
        <w:rPr>
          <w:rFonts w:ascii="Theinhardt Light" w:hAnsi="Theinhardt Light"/>
          <w:sz w:val="24"/>
          <w:szCs w:val="24"/>
        </w:rPr>
        <w:t xml:space="preserve">, Dariusz Bieńkowski, Jean i Francis Sławny, </w:t>
      </w:r>
      <w:r w:rsidRPr="00AF6E1A">
        <w:rPr>
          <w:rFonts w:ascii="Theinhardt Light" w:hAnsi="Theinhardt Light"/>
          <w:color w:val="222222"/>
          <w:sz w:val="24"/>
          <w:szCs w:val="24"/>
          <w:shd w:val="clear" w:color="auto" w:fill="FFFFFF"/>
        </w:rPr>
        <w:t>Teatr Studio, Galeria Studio i bar Studio.</w:t>
      </w:r>
    </w:p>
    <w:p w14:paraId="7C2C8852" w14:textId="77777777" w:rsidR="00E25CE1" w:rsidRPr="00E25CE1" w:rsidRDefault="00E25CE1" w:rsidP="00E25CE1">
      <w:pPr>
        <w:rPr>
          <w:rFonts w:ascii="Theinhardt Light" w:hAnsi="Theinhardt Light"/>
          <w:sz w:val="24"/>
          <w:szCs w:val="24"/>
        </w:rPr>
      </w:pPr>
    </w:p>
    <w:p w14:paraId="0BE1EBA9" w14:textId="00CCA775" w:rsidR="00E25CE1" w:rsidRPr="00E25CE1" w:rsidRDefault="00E25CE1" w:rsidP="00E25CE1">
      <w:pPr>
        <w:rPr>
          <w:rFonts w:ascii="Theinhardt Light" w:hAnsi="Theinhardt Light"/>
          <w:sz w:val="24"/>
          <w:szCs w:val="24"/>
        </w:rPr>
      </w:pPr>
      <w:r w:rsidRPr="00E25CE1">
        <w:rPr>
          <w:rFonts w:ascii="Theinhardt Light" w:hAnsi="Theinhardt Light"/>
          <w:sz w:val="24"/>
          <w:szCs w:val="24"/>
        </w:rPr>
        <w:t>Podziękowania za pomoc i udostępnienie materiałów:</w:t>
      </w:r>
    </w:p>
    <w:p w14:paraId="0C290B1D" w14:textId="59906AC4" w:rsidR="00E25CE1" w:rsidRDefault="00E25CE1" w:rsidP="00105C4C">
      <w:pPr>
        <w:rPr>
          <w:rFonts w:ascii="Theinhardt Light" w:hAnsi="Theinhardt Light"/>
          <w:sz w:val="24"/>
          <w:szCs w:val="24"/>
        </w:rPr>
      </w:pPr>
      <w:r w:rsidRPr="00E25CE1">
        <w:rPr>
          <w:rFonts w:ascii="Theinhardt Light" w:hAnsi="Theinhardt Light"/>
          <w:sz w:val="24"/>
          <w:szCs w:val="24"/>
        </w:rPr>
        <w:t xml:space="preserve">Baltimore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(Sarah </w:t>
      </w:r>
      <w:proofErr w:type="spellStart"/>
      <w:r w:rsidRPr="00E25CE1">
        <w:rPr>
          <w:rFonts w:ascii="Theinhardt Light" w:hAnsi="Theinhardt Light"/>
          <w:sz w:val="24"/>
          <w:szCs w:val="24"/>
        </w:rPr>
        <w:t>Dansberger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</w:t>
      </w:r>
      <w:proofErr w:type="spellStart"/>
      <w:r w:rsidRPr="00E25CE1">
        <w:rPr>
          <w:rFonts w:ascii="Theinhardt Light" w:hAnsi="Theinhardt Light"/>
          <w:sz w:val="24"/>
          <w:szCs w:val="24"/>
        </w:rPr>
        <w:t>Carnegie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Mellon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University </w:t>
      </w:r>
      <w:proofErr w:type="spellStart"/>
      <w:r w:rsidRPr="00E25CE1">
        <w:rPr>
          <w:rFonts w:ascii="Theinhardt Light" w:hAnsi="Theinhardt Light"/>
          <w:sz w:val="24"/>
          <w:szCs w:val="24"/>
        </w:rPr>
        <w:t>Archives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E25CE1">
        <w:rPr>
          <w:rFonts w:ascii="Theinhardt Light" w:hAnsi="Theinhardt Light"/>
          <w:sz w:val="24"/>
          <w:szCs w:val="24"/>
        </w:rPr>
        <w:t>Carnegie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</w:t>
      </w:r>
      <w:proofErr w:type="spellStart"/>
      <w:r w:rsidRPr="00E25CE1">
        <w:rPr>
          <w:rFonts w:ascii="Theinhardt Light" w:hAnsi="Theinhardt Light"/>
          <w:sz w:val="24"/>
          <w:szCs w:val="24"/>
        </w:rPr>
        <w:t>Madeline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Schatten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Cleveland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(Nico </w:t>
      </w:r>
      <w:proofErr w:type="spellStart"/>
      <w:r w:rsidRPr="00E25CE1">
        <w:rPr>
          <w:rFonts w:ascii="Theinhardt Light" w:hAnsi="Theinhardt Light"/>
          <w:sz w:val="24"/>
          <w:szCs w:val="24"/>
        </w:rPr>
        <w:t>Menefield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Dom Spotkań z Historią (Katarzyna </w:t>
      </w:r>
      <w:proofErr w:type="spellStart"/>
      <w:r w:rsidRPr="00E25CE1">
        <w:rPr>
          <w:rFonts w:ascii="Theinhardt Light" w:hAnsi="Theinhardt Light"/>
          <w:sz w:val="24"/>
          <w:szCs w:val="24"/>
        </w:rPr>
        <w:t>Madoń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-Mitzner), </w:t>
      </w:r>
      <w:proofErr w:type="spellStart"/>
      <w:r w:rsidRPr="00E25CE1">
        <w:rPr>
          <w:rFonts w:ascii="Theinhardt Light" w:hAnsi="Theinhardt Light"/>
          <w:sz w:val="24"/>
          <w:szCs w:val="24"/>
        </w:rPr>
        <w:t>Getty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Research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Institute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E25CE1">
        <w:rPr>
          <w:rFonts w:ascii="Theinhardt Light" w:hAnsi="Theinhardt Light"/>
          <w:sz w:val="24"/>
          <w:szCs w:val="24"/>
        </w:rPr>
        <w:t>Institut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für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Moderne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Kunst Nürnberg (</w:t>
      </w:r>
      <w:proofErr w:type="spellStart"/>
      <w:r w:rsidRPr="00E25CE1">
        <w:rPr>
          <w:rFonts w:ascii="Theinhardt Light" w:hAnsi="Theinhardt Light"/>
          <w:sz w:val="24"/>
          <w:szCs w:val="24"/>
        </w:rPr>
        <w:t>Anke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Schlecht</w:t>
      </w:r>
      <w:proofErr w:type="spellEnd"/>
      <w:r w:rsidRPr="00E25CE1">
        <w:rPr>
          <w:rFonts w:ascii="Theinhardt Light" w:hAnsi="Theinhardt Light"/>
          <w:sz w:val="24"/>
          <w:szCs w:val="24"/>
        </w:rPr>
        <w:t>), Kunst-</w:t>
      </w:r>
      <w:proofErr w:type="spellStart"/>
      <w:r w:rsidRPr="00E25CE1">
        <w:rPr>
          <w:rFonts w:ascii="Theinhardt Light" w:hAnsi="Theinhardt Light"/>
          <w:sz w:val="24"/>
          <w:szCs w:val="24"/>
        </w:rPr>
        <w:t>und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Museumsbibliothek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Stadt Köln (Thomas </w:t>
      </w:r>
      <w:proofErr w:type="spellStart"/>
      <w:r w:rsidRPr="00E25CE1">
        <w:rPr>
          <w:rFonts w:ascii="Theinhardt Light" w:hAnsi="Theinhardt Light"/>
          <w:sz w:val="24"/>
          <w:szCs w:val="24"/>
        </w:rPr>
        <w:t>Romándi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Los Angeles </w:t>
      </w:r>
      <w:proofErr w:type="spellStart"/>
      <w:r w:rsidRPr="00E25CE1">
        <w:rPr>
          <w:rFonts w:ascii="Theinhardt Light" w:hAnsi="Theinhardt Light"/>
          <w:sz w:val="24"/>
          <w:szCs w:val="24"/>
        </w:rPr>
        <w:t>County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Art (Julia </w:t>
      </w:r>
      <w:proofErr w:type="spellStart"/>
      <w:r w:rsidRPr="00E25CE1">
        <w:rPr>
          <w:rFonts w:ascii="Theinhardt Light" w:hAnsi="Theinhardt Light"/>
          <w:sz w:val="24"/>
          <w:szCs w:val="24"/>
        </w:rPr>
        <w:t>Han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Muzeum Akademii Sztuk Pięknych w Warszawie (Jola Gola, Katarzyna Jankowska-Cieślik, Jacqueline </w:t>
      </w:r>
      <w:proofErr w:type="spellStart"/>
      <w:r w:rsidRPr="00E25CE1">
        <w:rPr>
          <w:rFonts w:ascii="Theinhardt Light" w:hAnsi="Theinhardt Light"/>
          <w:sz w:val="24"/>
          <w:szCs w:val="24"/>
        </w:rPr>
        <w:t>Irene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Horodyńska), Muzeum Narodowe w Warszawie (Ada </w:t>
      </w:r>
      <w:proofErr w:type="spellStart"/>
      <w:r w:rsidRPr="00E25CE1">
        <w:rPr>
          <w:rFonts w:ascii="Theinhardt Light" w:hAnsi="Theinhardt Light"/>
          <w:sz w:val="24"/>
          <w:szCs w:val="24"/>
        </w:rPr>
        <w:t>Bielikowska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Saint Louis Art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Jenna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Stout and Clare </w:t>
      </w:r>
      <w:proofErr w:type="spellStart"/>
      <w:r w:rsidRPr="00E25CE1">
        <w:rPr>
          <w:rFonts w:ascii="Theinhardt Light" w:hAnsi="Theinhardt Light"/>
          <w:sz w:val="24"/>
          <w:szCs w:val="24"/>
        </w:rPr>
        <w:t>Vasquez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Seattle Art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Ashley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Mead, </w:t>
      </w:r>
      <w:proofErr w:type="spellStart"/>
      <w:r w:rsidRPr="00E25CE1">
        <w:rPr>
          <w:rFonts w:ascii="Theinhardt Light" w:hAnsi="Theinhardt Light"/>
          <w:sz w:val="24"/>
          <w:szCs w:val="24"/>
        </w:rPr>
        <w:t>Hannah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Hirano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Solomon R. Guggenheim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(Anton </w:t>
      </w:r>
      <w:proofErr w:type="spellStart"/>
      <w:r w:rsidRPr="00E25CE1">
        <w:rPr>
          <w:rFonts w:ascii="Theinhardt Light" w:hAnsi="Theinhardt Light"/>
          <w:sz w:val="24"/>
          <w:szCs w:val="24"/>
        </w:rPr>
        <w:t>Sherin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</w:t>
      </w:r>
      <w:proofErr w:type="spellStart"/>
      <w:r w:rsidRPr="00E25CE1">
        <w:rPr>
          <w:rFonts w:ascii="Theinhardt Light" w:hAnsi="Theinhardt Light"/>
          <w:sz w:val="24"/>
          <w:szCs w:val="24"/>
        </w:rPr>
        <w:t>Stedelijk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(Bart </w:t>
      </w:r>
      <w:proofErr w:type="spellStart"/>
      <w:r w:rsidRPr="00E25CE1">
        <w:rPr>
          <w:rFonts w:ascii="Theinhardt Light" w:hAnsi="Theinhardt Light"/>
          <w:sz w:val="24"/>
          <w:szCs w:val="24"/>
        </w:rPr>
        <w:t>Brouns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</w:t>
      </w:r>
      <w:proofErr w:type="spellStart"/>
      <w:r w:rsidRPr="00E25CE1">
        <w:rPr>
          <w:rFonts w:ascii="Theinhardt Light" w:hAnsi="Theinhardt Light"/>
          <w:sz w:val="24"/>
          <w:szCs w:val="24"/>
        </w:rPr>
        <w:t>Hetty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Wessels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UCLA Library Special </w:t>
      </w:r>
      <w:proofErr w:type="spellStart"/>
      <w:r w:rsidRPr="00E25CE1">
        <w:rPr>
          <w:rFonts w:ascii="Theinhardt Light" w:hAnsi="Theinhardt Light"/>
          <w:sz w:val="24"/>
          <w:szCs w:val="24"/>
        </w:rPr>
        <w:t>Collections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Molly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Haigh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, Maxwell </w:t>
      </w:r>
      <w:proofErr w:type="spellStart"/>
      <w:r w:rsidRPr="00E25CE1">
        <w:rPr>
          <w:rFonts w:ascii="Theinhardt Light" w:hAnsi="Theinhardt Light"/>
          <w:sz w:val="24"/>
          <w:szCs w:val="24"/>
        </w:rPr>
        <w:t>Zupke</w:t>
      </w:r>
      <w:proofErr w:type="spellEnd"/>
      <w:r w:rsidRPr="00E25CE1">
        <w:rPr>
          <w:rFonts w:ascii="Theinhardt Light" w:hAnsi="Theinhardt Light"/>
          <w:sz w:val="24"/>
          <w:szCs w:val="24"/>
        </w:rPr>
        <w:t>), University of California Berkeley (</w:t>
      </w:r>
      <w:proofErr w:type="spellStart"/>
      <w:r w:rsidRPr="00E25CE1">
        <w:rPr>
          <w:rFonts w:ascii="Theinhardt Light" w:hAnsi="Theinhardt Light"/>
          <w:sz w:val="24"/>
          <w:szCs w:val="24"/>
        </w:rPr>
        <w:t>Lynn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Cunningham), University of Pittsburgh (</w:t>
      </w:r>
      <w:proofErr w:type="spellStart"/>
      <w:r w:rsidRPr="00E25CE1">
        <w:rPr>
          <w:rFonts w:ascii="Theinhardt Light" w:hAnsi="Theinhardt Light"/>
          <w:sz w:val="24"/>
          <w:szCs w:val="24"/>
        </w:rPr>
        <w:t>Kate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</w:t>
      </w:r>
      <w:proofErr w:type="spellStart"/>
      <w:r w:rsidRPr="00E25CE1">
        <w:rPr>
          <w:rFonts w:ascii="Theinhardt Light" w:hAnsi="Theinhardt Light"/>
          <w:sz w:val="24"/>
          <w:szCs w:val="24"/>
        </w:rPr>
        <w:t>Joranson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), Virginia </w:t>
      </w:r>
      <w:proofErr w:type="spellStart"/>
      <w:r w:rsidRPr="00E25CE1">
        <w:rPr>
          <w:rFonts w:ascii="Theinhardt Light" w:hAnsi="Theinhardt Light"/>
          <w:sz w:val="24"/>
          <w:szCs w:val="24"/>
        </w:rPr>
        <w:t>Museum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of Fine </w:t>
      </w:r>
      <w:proofErr w:type="spellStart"/>
      <w:r w:rsidRPr="00E25CE1">
        <w:rPr>
          <w:rFonts w:ascii="Theinhardt Light" w:hAnsi="Theinhardt Light"/>
          <w:sz w:val="24"/>
          <w:szCs w:val="24"/>
        </w:rPr>
        <w:t>Arts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(</w:t>
      </w:r>
      <w:proofErr w:type="spellStart"/>
      <w:r w:rsidRPr="00E25CE1">
        <w:rPr>
          <w:rFonts w:ascii="Theinhardt Light" w:hAnsi="Theinhardt Light"/>
          <w:sz w:val="24"/>
          <w:szCs w:val="24"/>
        </w:rPr>
        <w:t>Kristin</w:t>
      </w:r>
      <w:proofErr w:type="spellEnd"/>
      <w:r w:rsidRPr="00E25CE1">
        <w:rPr>
          <w:rFonts w:ascii="Theinhardt Light" w:hAnsi="Theinhardt Light"/>
          <w:sz w:val="24"/>
          <w:szCs w:val="24"/>
        </w:rPr>
        <w:t xml:space="preserve"> Alexander).</w:t>
      </w:r>
    </w:p>
    <w:p w14:paraId="145CC10A" w14:textId="45665C52" w:rsidR="00105C4C" w:rsidRDefault="00105C4C" w:rsidP="00105C4C">
      <w:pPr>
        <w:rPr>
          <w:rFonts w:ascii="Theinhardt Light" w:hAnsi="Theinhardt Light"/>
          <w:sz w:val="24"/>
          <w:szCs w:val="24"/>
        </w:rPr>
      </w:pPr>
    </w:p>
    <w:p w14:paraId="106DBD34" w14:textId="6C1FD984" w:rsidR="00105C4C" w:rsidRPr="00105C4C" w:rsidRDefault="00105C4C" w:rsidP="00105C4C">
      <w:pPr>
        <w:spacing w:before="240" w:after="240"/>
        <w:ind w:right="-894"/>
        <w:rPr>
          <w:rFonts w:ascii="Theinhardt Light" w:hAnsi="Theinhardt Light"/>
          <w:color w:val="000000"/>
          <w:sz w:val="24"/>
          <w:szCs w:val="24"/>
          <w:shd w:val="clear" w:color="auto" w:fill="FFFFFF"/>
        </w:rPr>
      </w:pPr>
      <w:r w:rsidRPr="00105C4C">
        <w:rPr>
          <w:rFonts w:ascii="Theinhardt Light" w:hAnsi="Theinhardt Light"/>
          <w:color w:val="000000"/>
          <w:sz w:val="24"/>
          <w:szCs w:val="24"/>
          <w:shd w:val="clear" w:color="auto" w:fill="FFFFFF"/>
        </w:rPr>
        <w:t>Partner projektu</w:t>
      </w:r>
      <w:r w:rsidRPr="00105C4C">
        <w:rPr>
          <w:rFonts w:ascii="Theinhardt Light" w:hAnsi="Theinhardt Light"/>
          <w:color w:val="000000"/>
          <w:sz w:val="24"/>
          <w:szCs w:val="24"/>
          <w:shd w:val="clear" w:color="auto" w:fill="FFFFFF"/>
        </w:rPr>
        <w:t>:</w:t>
      </w:r>
      <w:bookmarkStart w:id="0" w:name="_GoBack"/>
      <w:bookmarkEnd w:id="0"/>
    </w:p>
    <w:p w14:paraId="0DD07F9C" w14:textId="0EEAF2FC" w:rsidR="00E25CE1" w:rsidRDefault="00105C4C" w:rsidP="003D7D87">
      <w:pPr>
        <w:spacing w:before="240" w:after="240"/>
        <w:ind w:left="-142" w:right="-894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noProof/>
          <w:color w:val="000000"/>
          <w:sz w:val="21"/>
          <w:szCs w:val="21"/>
          <w:shd w:val="clear" w:color="auto" w:fill="FFFFFF"/>
          <w:lang w:val="pl-PL"/>
        </w:rPr>
        <w:drawing>
          <wp:inline distT="0" distB="0" distL="0" distR="0" wp14:anchorId="64078B09" wp14:editId="06038F84">
            <wp:extent cx="1634756" cy="571500"/>
            <wp:effectExtent l="0" t="0" r="0" b="0"/>
            <wp:docPr id="1" name="Obraz 1" descr="C:\Users\i.winczakiewicz\AppData\Local\Microsoft\Windows\INetCache\Content.Word\Studio_50lat#Studio#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.winczakiewicz\AppData\Local\Microsoft\Windows\INetCache\Content.Word\Studio_50lat#Studio#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01" cy="57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8728E" w14:textId="77777777" w:rsidR="00105C4C" w:rsidRPr="00105C4C" w:rsidRDefault="00105C4C" w:rsidP="00105C4C">
      <w:pPr>
        <w:spacing w:before="240" w:after="240"/>
        <w:ind w:left="142" w:right="-894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141FA0FE" w14:textId="154A2C41" w:rsidR="00105C4C" w:rsidRPr="00105C4C" w:rsidRDefault="00105C4C" w:rsidP="00105C4C">
      <w:pPr>
        <w:spacing w:before="240" w:after="240"/>
        <w:ind w:left="-851" w:right="-894"/>
        <w:jc w:val="both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pict w14:anchorId="1223D94C">
          <v:shape id="_x0000_i1026" type="#_x0000_t75" style="width:562.5pt;height:204pt">
            <v:imagedata r:id="rId12" o:title="plansza"/>
          </v:shape>
        </w:pict>
      </w:r>
    </w:p>
    <w:sectPr w:rsidR="00105C4C" w:rsidRPr="00105C4C" w:rsidSect="0095141B">
      <w:pgSz w:w="11909" w:h="16834"/>
      <w:pgMar w:top="993" w:right="1440" w:bottom="127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einhardt Light">
    <w:altName w:val="Theinhardt Light"/>
    <w:panose1 w:val="020B0303020202020204"/>
    <w:charset w:val="00"/>
    <w:family w:val="swiss"/>
    <w:notTrueType/>
    <w:pitch w:val="variable"/>
    <w:sig w:usb0="A00000AF" w:usb1="5000206A" w:usb2="00000000" w:usb3="00000000" w:csb0="00000093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34"/>
    <w:rsid w:val="00105C4C"/>
    <w:rsid w:val="003D7D87"/>
    <w:rsid w:val="00490630"/>
    <w:rsid w:val="005E6A74"/>
    <w:rsid w:val="006D2415"/>
    <w:rsid w:val="0095141B"/>
    <w:rsid w:val="00AF6E1A"/>
    <w:rsid w:val="00B51834"/>
    <w:rsid w:val="00E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284A"/>
  <w15:docId w15:val="{5D382621-8EC8-4E37-AEAF-94F63266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39"/>
    <w:rsid w:val="004906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51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museum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rtmuseum.pl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museum.pl/pl/archiwu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artmuseum.pl/" TargetMode="External"/><Relationship Id="rId10" Type="http://schemas.openxmlformats.org/officeDocument/2006/relationships/hyperlink" Target="http://prasa.artmuseum.pl/informacja_prasowa.php?link=Fangor&amp;l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rtmuseum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Winczakiewicz</dc:creator>
  <cp:lastModifiedBy>Iga Winczakiewicz</cp:lastModifiedBy>
  <cp:revision>6</cp:revision>
  <cp:lastPrinted>2022-11-09T11:10:00Z</cp:lastPrinted>
  <dcterms:created xsi:type="dcterms:W3CDTF">2022-11-08T15:20:00Z</dcterms:created>
  <dcterms:modified xsi:type="dcterms:W3CDTF">2022-11-09T12:39:00Z</dcterms:modified>
</cp:coreProperties>
</file>