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97CD" w14:textId="55F7BD13" w:rsidR="00515C5E" w:rsidRDefault="00515C5E" w:rsidP="00515C5E">
      <w:pPr>
        <w:jc w:val="right"/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</w:pPr>
      <w:r w:rsidRPr="00A70927">
        <w:rPr>
          <w:rFonts w:ascii="Warsaw" w:hAnsi="Warsaw"/>
          <w:noProof/>
          <w:sz w:val="28"/>
          <w:szCs w:val="28"/>
          <w:lang w:eastAsia="pl-PL"/>
        </w:rPr>
        <w:drawing>
          <wp:inline distT="0" distB="0" distL="0" distR="0" wp14:anchorId="39BBEE2D" wp14:editId="58DA9E4C">
            <wp:extent cx="1228725" cy="1228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E1C8C" w14:textId="77777777" w:rsidR="00515C5E" w:rsidRDefault="00515C5E" w:rsidP="003F4AEA">
      <w:pP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</w:pPr>
    </w:p>
    <w:p w14:paraId="1D6CF4E0" w14:textId="77777777" w:rsidR="00515C5E" w:rsidRDefault="00515C5E" w:rsidP="003F4AEA">
      <w:pP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</w:pPr>
    </w:p>
    <w:p w14:paraId="1E60DC54" w14:textId="77777777" w:rsidR="004A51BE" w:rsidRDefault="004A51BE" w:rsidP="003F4AEA">
      <w:pP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</w:pPr>
    </w:p>
    <w:p w14:paraId="2FDAD88A" w14:textId="781D0ADD" w:rsidR="003F4AEA" w:rsidRDefault="003F4AEA" w:rsidP="003F4AEA">
      <w:pP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</w:pPr>
      <w: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  <w:t xml:space="preserve">Ostatnie 3 wystawy </w:t>
      </w:r>
      <w:r w:rsidRPr="003F4AEA"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  <w:t>Muzeum Sztuki Nowoczesnej w Warszawie</w:t>
      </w:r>
      <w: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  <w:t xml:space="preserve"> </w:t>
      </w:r>
      <w:r w:rsidR="00515C5E"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  <w:br/>
      </w:r>
      <w: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  <w:t>w tymczasowej przestrzeni wystawienniczej pawilonu Emilia</w:t>
      </w:r>
    </w:p>
    <w:p w14:paraId="79B1F1A8" w14:textId="77777777" w:rsidR="003F4AEA" w:rsidRDefault="003F4AEA" w:rsidP="003F4AEA">
      <w:pPr>
        <w:rPr>
          <w:rFonts w:ascii="Warsaw" w:eastAsia="Times New Roman" w:hAnsi="Warsaw" w:cs="Times New Roman"/>
          <w:b/>
          <w:bCs/>
          <w:sz w:val="28"/>
          <w:szCs w:val="28"/>
          <w:lang w:eastAsia="pl-PL"/>
        </w:rPr>
      </w:pPr>
    </w:p>
    <w:p w14:paraId="117B5135" w14:textId="568A6DC9" w:rsidR="00515C5E" w:rsidRPr="00515C5E" w:rsidRDefault="00515C5E" w:rsidP="00515C5E">
      <w:pPr>
        <w:shd w:val="clear" w:color="auto" w:fill="FFFFFF"/>
        <w:rPr>
          <w:rFonts w:ascii="Warsaw" w:eastAsia="Times New Roman" w:hAnsi="Warsaw"/>
          <w:b/>
          <w:bCs/>
          <w:color w:val="222222"/>
          <w:lang w:eastAsia="pl-PL"/>
        </w:rPr>
      </w:pPr>
      <w:r>
        <w:rPr>
          <w:rFonts w:ascii="Warsaw" w:eastAsia="Times New Roman" w:hAnsi="Warsaw"/>
          <w:b/>
          <w:bCs/>
          <w:color w:val="222222"/>
          <w:lang w:eastAsia="pl-PL"/>
        </w:rPr>
        <w:t>19 lutego–</w:t>
      </w:r>
      <w:r w:rsidRPr="00C25776">
        <w:rPr>
          <w:rFonts w:ascii="Warsaw" w:eastAsia="Times New Roman" w:hAnsi="Warsaw"/>
          <w:b/>
          <w:bCs/>
          <w:color w:val="222222"/>
          <w:lang w:eastAsia="pl-PL"/>
        </w:rPr>
        <w:t>1 maja 2016</w:t>
      </w:r>
    </w:p>
    <w:p w14:paraId="5DCF5B56" w14:textId="77777777" w:rsidR="003F4AEA" w:rsidRDefault="003F4AEA" w:rsidP="003F4AEA">
      <w:pPr>
        <w:rPr>
          <w:rFonts w:ascii="Warsaw" w:eastAsia="Times New Roman" w:hAnsi="Warsaw" w:cs="Times New Roman"/>
          <w:b/>
          <w:bCs/>
          <w:lang w:eastAsia="pl-PL"/>
        </w:rPr>
      </w:pPr>
      <w:r w:rsidRPr="003F4AEA">
        <w:rPr>
          <w:rFonts w:ascii="Warsaw" w:eastAsia="Times New Roman" w:hAnsi="Warsaw" w:cs="Calibri"/>
          <w:b/>
          <w:bCs/>
          <w:lang w:eastAsia="pl-PL"/>
        </w:rPr>
        <w:t>Wystawa „Chleb i róże. Artyści wobec podziałów klasowych”</w:t>
      </w:r>
      <w:r w:rsidRPr="003F4AEA">
        <w:rPr>
          <w:rFonts w:ascii="Warsaw" w:eastAsia="Times New Roman" w:hAnsi="Warsaw" w:cs="Times New Roman"/>
          <w:b/>
          <w:bCs/>
          <w:lang w:eastAsia="pl-PL"/>
        </w:rPr>
        <w:t xml:space="preserve"> </w:t>
      </w:r>
    </w:p>
    <w:p w14:paraId="76EFCC9A" w14:textId="77777777" w:rsidR="003F4AEA" w:rsidRPr="003F4AEA" w:rsidRDefault="003F4AEA" w:rsidP="003F4AEA">
      <w:pPr>
        <w:rPr>
          <w:rFonts w:ascii="Warsaw" w:eastAsia="Times New Roman" w:hAnsi="Warsaw" w:cs="Calibri"/>
          <w:b/>
          <w:bCs/>
          <w:lang w:eastAsia="pl-PL"/>
        </w:rPr>
      </w:pPr>
      <w:r w:rsidRPr="003F4AEA">
        <w:rPr>
          <w:rFonts w:ascii="Warsaw" w:eastAsia="Times New Roman" w:hAnsi="Warsaw" w:cs="Times New Roman"/>
          <w:b/>
          <w:bCs/>
          <w:lang w:eastAsia="pl-PL"/>
        </w:rPr>
        <w:t xml:space="preserve">Wystawa </w:t>
      </w:r>
      <w:r w:rsidRPr="003F4AEA">
        <w:rPr>
          <w:rFonts w:ascii="Warsaw" w:eastAsia="Times New Roman" w:hAnsi="Warsaw" w:cs="Calibri"/>
          <w:b/>
          <w:bCs/>
          <w:lang w:eastAsia="pl-PL"/>
        </w:rPr>
        <w:t>„Po co wojny są na świecie. Sztuka współczesnych outsiderów”</w:t>
      </w:r>
    </w:p>
    <w:p w14:paraId="68893265" w14:textId="77777777" w:rsidR="003F4AEA" w:rsidRPr="003F4AEA" w:rsidRDefault="003F4AEA" w:rsidP="003F4AEA">
      <w:pPr>
        <w:rPr>
          <w:rFonts w:ascii="Warsaw" w:eastAsia="Times New Roman" w:hAnsi="Warsaw" w:cs="Calibri"/>
          <w:b/>
          <w:bCs/>
          <w:lang w:eastAsia="pl-PL"/>
        </w:rPr>
      </w:pPr>
      <w:r w:rsidRPr="003F4AEA">
        <w:rPr>
          <w:rFonts w:ascii="Warsaw" w:eastAsia="Times New Roman" w:hAnsi="Warsaw" w:cs="Calibri"/>
          <w:b/>
          <w:bCs/>
          <w:lang w:eastAsia="pl-PL"/>
        </w:rPr>
        <w:t>Wystawa „Robiąc użytek. Życie w epoce postartystycznej”</w:t>
      </w:r>
    </w:p>
    <w:p w14:paraId="7DF47EAA" w14:textId="77777777" w:rsidR="00515C5E" w:rsidRPr="00C25776" w:rsidRDefault="00515C5E" w:rsidP="00515C5E">
      <w:pPr>
        <w:pStyle w:val="Domylnie"/>
        <w:rPr>
          <w:rFonts w:ascii="Warsaw" w:hAnsi="Warsaw" w:cs="Times New Roman"/>
          <w:b/>
          <w:bCs/>
          <w:lang w:val="pl-PL"/>
        </w:rPr>
      </w:pPr>
      <w:r w:rsidRPr="00C25776">
        <w:rPr>
          <w:rFonts w:ascii="Warsaw" w:hAnsi="Warsaw" w:cs="Times New Roman"/>
          <w:b/>
          <w:bCs/>
          <w:lang w:val="pl-PL"/>
        </w:rPr>
        <w:t>Otwarcie: 19 lutego 2016, godz. 19.00</w:t>
      </w:r>
    </w:p>
    <w:p w14:paraId="725F2FAB" w14:textId="77777777" w:rsidR="003F4AEA" w:rsidRDefault="003F4AEA" w:rsidP="003F4AEA">
      <w:pPr>
        <w:rPr>
          <w:rFonts w:ascii="Theinhardt Light" w:eastAsia="Times New Roman" w:hAnsi="Theinhardt Light" w:cs="Times New Roman"/>
          <w:lang w:eastAsia="pl-PL"/>
        </w:rPr>
      </w:pPr>
    </w:p>
    <w:p w14:paraId="48B4B14D" w14:textId="77777777" w:rsidR="003F4AEA" w:rsidRDefault="003F4AEA" w:rsidP="003F4AEA">
      <w:pPr>
        <w:rPr>
          <w:rFonts w:ascii="Theinhardt Light" w:eastAsia="Times New Roman" w:hAnsi="Theinhardt Light" w:cs="Times New Roman"/>
          <w:lang w:eastAsia="pl-PL"/>
        </w:rPr>
      </w:pPr>
    </w:p>
    <w:p w14:paraId="5702AC51" w14:textId="77777777" w:rsidR="003F4AEA" w:rsidRDefault="003F4AEA" w:rsidP="003F4AEA">
      <w:pPr>
        <w:rPr>
          <w:rFonts w:ascii="Theinhardt Light" w:eastAsia="Times New Roman" w:hAnsi="Theinhardt Light" w:cs="Times New Roman"/>
          <w:lang w:eastAsia="pl-PL"/>
        </w:rPr>
      </w:pPr>
      <w:r w:rsidRPr="003F4AEA">
        <w:rPr>
          <w:rFonts w:ascii="Theinhardt Light" w:eastAsia="Times New Roman" w:hAnsi="Theinhardt Light" w:cs="Times New Roman"/>
          <w:lang w:eastAsia="pl-PL"/>
        </w:rPr>
        <w:t>W 2016 roku Muzeum Sztuki Nowoczesnej w Warszawie straci swoją tymczasową siedzibę w pawilonie meblowym „Emilia”. Ostatnie kilka miesięcy funkcjon</w:t>
      </w:r>
      <w:r>
        <w:rPr>
          <w:rFonts w:ascii="Theinhardt Light" w:eastAsia="Times New Roman" w:hAnsi="Theinhardt Light" w:cs="Times New Roman"/>
          <w:lang w:eastAsia="pl-PL"/>
        </w:rPr>
        <w:t>owania w tej przestrzeni poświęci</w:t>
      </w:r>
      <w:r w:rsidRPr="003F4AEA">
        <w:rPr>
          <w:rFonts w:ascii="Theinhardt Light" w:eastAsia="Times New Roman" w:hAnsi="Theinhardt Light" w:cs="Times New Roman"/>
          <w:lang w:eastAsia="pl-PL"/>
        </w:rPr>
        <w:t xml:space="preserve"> na zmierzenie się z charakterystycznym dla dzisiejszej kondycji społecznej poczuciem rosnącej niestabilności ekonomicznej i zamazaniem jasności politycznych podziałów. Stąd zaplanowany obszerny projekt wystawienniczo-badawczy, który będzie miał miejsce od lutego do maja 2016. </w:t>
      </w:r>
    </w:p>
    <w:p w14:paraId="1C9974FF" w14:textId="77777777" w:rsidR="003F4AEA" w:rsidRDefault="003F4AEA" w:rsidP="003F4AEA">
      <w:pPr>
        <w:rPr>
          <w:rFonts w:ascii="Theinhardt Light" w:eastAsia="Times New Roman" w:hAnsi="Theinhardt Light" w:cs="Times New Roman"/>
          <w:lang w:eastAsia="pl-PL"/>
        </w:rPr>
      </w:pPr>
    </w:p>
    <w:p w14:paraId="462A1EBF" w14:textId="77777777" w:rsidR="003F4AEA" w:rsidRDefault="003F4AEA" w:rsidP="003F4AEA">
      <w:pPr>
        <w:rPr>
          <w:rFonts w:ascii="Theinhardt Light" w:eastAsia="Times New Roman" w:hAnsi="Theinhardt Light" w:cs="Times New Roman"/>
          <w:lang w:eastAsia="pl-PL"/>
        </w:rPr>
      </w:pPr>
      <w:r w:rsidRPr="003F4AEA">
        <w:rPr>
          <w:rFonts w:ascii="Theinhardt Light" w:eastAsia="Times New Roman" w:hAnsi="Theinhardt Light" w:cs="Times New Roman"/>
          <w:lang w:eastAsia="pl-PL"/>
        </w:rPr>
        <w:t xml:space="preserve">Rosnące napięcia społeczne i nierówności ekonomiczne widoczne w szerszym planie są też wyraźnie odczuwalne na przykładzie środowiska artystycznego. Część środowiska, definiująca się jako prekariat, podkreśla, że nie ma żadnych zabezpieczeń socjalnych, podejmując się wysiłku opisania i organizacji „klasy wykluczonych”. Wielu artystów aspiruje do rynku sztuki, który działając globalnie uniezależnia się od lokalnych stosunków pracy, ale wymaga podjęcia wyczerpującej walki o zaistnienie i często wpływa na komercyjne formatowanie dzieł, a beneficjentami zostają ostatecznie nieliczni. Podziały te dotyczą również publiczności Muzeum i jej często sprzecznych oczekiwań wobec instytucji. Choć zawsze muzeum ma być projektem emancypacyjnym, dla jednych jest ośrodkiem eksperckiej wiedzy lub elitarnej rozrywki związanej z wysokim statusem społecznym, podczas gdy dla innych głównie ośrodkiem upowszechniania kultury i powszechnie dostępnej edukacji. Jednocześnie jesteśmy świadkami powrotu konserwatywnych wartości w sztuce, coraz silniejszego związania twórczości artystycznej z mecenatem prywatnym oraz korporacyjnym oraz rosnącego znaczenia rynku sztuki. Wiąże się to z kryzysem awangardy jako punktu odniesienia dla sztuki współczesnej. O ile jeszcze w latach 60. i 70. ubiegłego stulecia artyści awangardowi działali w kontekście uniwersalnego, antykapitalistycznego, równościowego projektu emancypacyjnego, o tyle dzisiaj muszą się konfrontować z jego wyczerpaniem. Komercjalizacja życia publicznego dotyka muzeum na wielu poziomach, zarówno ekonomicznym, jak i symbolicznym. Wszystkie te zjawiska składają się na kryzys opisywany pod wspólnym szyldem jako kryzys późnego kapitalizmu. Muzeum musi na nowo na wykonać wysiłek zdefiniowania, czym jest obecnie sfera </w:t>
      </w:r>
      <w:r w:rsidRPr="003F4AEA">
        <w:rPr>
          <w:rFonts w:ascii="Theinhardt Light" w:eastAsia="Times New Roman" w:hAnsi="Theinhardt Light" w:cs="Times New Roman"/>
          <w:lang w:eastAsia="pl-PL"/>
        </w:rPr>
        <w:lastRenderedPageBreak/>
        <w:t xml:space="preserve">publiczna oraz przeformułować swoją misję wobec sprzecznych oczekiwań społecznych, motywacji i dążeń użytkowników kultury. Wymaga to podania refleksji własnych metod działania, eksperckich pozycji, relacji z publicznością, współpracy ze środowiskiem artystycznym oraz z innymi grupami odbiorców i współtwórców programów instytucji sztuki. </w:t>
      </w:r>
    </w:p>
    <w:p w14:paraId="58EA637F" w14:textId="77777777" w:rsidR="003F4AEA" w:rsidRDefault="003F4AEA" w:rsidP="003F4AEA">
      <w:pPr>
        <w:rPr>
          <w:rFonts w:ascii="Theinhardt Light" w:eastAsia="Times New Roman" w:hAnsi="Theinhardt Light" w:cs="Times New Roman"/>
          <w:lang w:eastAsia="pl-PL"/>
        </w:rPr>
      </w:pPr>
    </w:p>
    <w:p w14:paraId="32F7DE5F" w14:textId="26751969" w:rsidR="003F4AEA" w:rsidRPr="003F4AEA" w:rsidRDefault="003F4AEA" w:rsidP="003F4AEA">
      <w:pPr>
        <w:rPr>
          <w:rFonts w:ascii="Theinhardt Light" w:eastAsia="Times New Roman" w:hAnsi="Theinhardt Light" w:cs="Times New Roman"/>
          <w:lang w:eastAsia="pl-PL"/>
        </w:rPr>
      </w:pPr>
      <w:r w:rsidRPr="003F4AEA">
        <w:rPr>
          <w:rFonts w:ascii="Theinhardt Light" w:eastAsia="Times New Roman" w:hAnsi="Theinhardt Light" w:cs="Times New Roman"/>
          <w:lang w:eastAsia="pl-PL"/>
        </w:rPr>
        <w:t>Program w 2016 roku podzielony jest na trzy niezależne wystawy obudowane programami badawczymi i edukacyjnymi. Pierwsza z nich to „Chleb i róże” – jej celem jest odpowiedź na pytanie, jak producenci kultury, obdarzeni zaufaniem i autorytetem społecznym, definiują swój status i pozycję wobec rosnących ekonomicznych nierówności. Druga wystawa – zatytułowana „Po co wojny są na świecie” – oddaje głos twórczości „nieprofesjonalnej”, powstającej poza obiegiem instytucji sztuki, i ma na celu pokazać podmiotowość twórców samouków i potencjał krytyczny tkwiący w ich pracach, a tym samym kwestionować dominację instytucjonalnego obiegu sztuki. Trzecia wystawa, „</w:t>
      </w:r>
      <w:r>
        <w:rPr>
          <w:rFonts w:ascii="Theinhardt Light" w:eastAsia="Times New Roman" w:hAnsi="Theinhardt Light" w:cs="Times New Roman"/>
          <w:lang w:eastAsia="pl-PL"/>
        </w:rPr>
        <w:t>Robiąc użytek”,</w:t>
      </w:r>
      <w:r w:rsidRPr="003F4AEA">
        <w:rPr>
          <w:rFonts w:ascii="Theinhardt Light" w:eastAsia="Times New Roman" w:hAnsi="Theinhardt Light" w:cs="Times New Roman"/>
          <w:lang w:eastAsia="pl-PL"/>
        </w:rPr>
        <w:t xml:space="preserve"> dotyczy artystycznych kompetencji i tego, na ile użyteczne mogą być one poza światem sztuki, w negocjowaniu reguł codziennego życia, współdziałania, wymiany i produkcji wiedzy. Projekt ten podejmuje również kwestię statusu dzieła sztuki w warunkach późnego kapitalizmu, a co za tym idzie </w:t>
      </w:r>
      <w:r w:rsidR="00515C5E">
        <w:rPr>
          <w:rFonts w:ascii="Theinhardt Light" w:eastAsia="Times New Roman" w:hAnsi="Theinhardt Light" w:cs="Times New Roman"/>
          <w:lang w:eastAsia="pl-PL"/>
        </w:rPr>
        <w:t>–</w:t>
      </w:r>
      <w:r w:rsidRPr="003F4AEA">
        <w:rPr>
          <w:rFonts w:ascii="Theinhardt Light" w:eastAsia="Times New Roman" w:hAnsi="Theinhardt Light" w:cs="Times New Roman"/>
          <w:lang w:eastAsia="pl-PL"/>
        </w:rPr>
        <w:t xml:space="preserve"> wyzwań stojących wobec zaangażowanego społecznie muzealnictwa.</w:t>
      </w:r>
    </w:p>
    <w:p w14:paraId="6A1AB72E" w14:textId="77777777" w:rsidR="002D10F9" w:rsidRDefault="002D10F9">
      <w:pPr>
        <w:rPr>
          <w:rFonts w:ascii="Theinhardt Light" w:hAnsi="Theinhardt Light"/>
        </w:rPr>
      </w:pPr>
    </w:p>
    <w:p w14:paraId="69E54531" w14:textId="77777777" w:rsidR="00515C5E" w:rsidRDefault="00515C5E">
      <w:pPr>
        <w:rPr>
          <w:rFonts w:ascii="Theinhardt Light" w:hAnsi="Theinhardt Light"/>
        </w:rPr>
      </w:pPr>
    </w:p>
    <w:p w14:paraId="00C14840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Miejsce</w:t>
      </w:r>
    </w:p>
    <w:p w14:paraId="11FD75E0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Muzeum Sztuki Nowoczesnej w Warszawie</w:t>
      </w:r>
    </w:p>
    <w:p w14:paraId="439FD5D0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ul. Emilii Plater 51</w:t>
      </w:r>
    </w:p>
    <w:p w14:paraId="65DA5DD2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00-125 Warszawa</w:t>
      </w:r>
    </w:p>
    <w:p w14:paraId="054E2DF0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www.artmuseum.pl</w:t>
      </w:r>
    </w:p>
    <w:p w14:paraId="23451234" w14:textId="77777777" w:rsidR="00515C5E" w:rsidRDefault="00515C5E" w:rsidP="00515C5E">
      <w:pPr>
        <w:pStyle w:val="Domylnie"/>
        <w:rPr>
          <w:rFonts w:ascii="Warsaw" w:hAnsi="Warsaw"/>
          <w:color w:val="auto"/>
          <w:shd w:val="clear" w:color="auto" w:fill="FFFFFF"/>
          <w:lang w:val="pl-PL"/>
        </w:rPr>
      </w:pPr>
    </w:p>
    <w:p w14:paraId="2BD80958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Godziny otwarcia</w:t>
      </w:r>
    </w:p>
    <w:p w14:paraId="19EB2E24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wtorek–niedziela 12–20</w:t>
      </w:r>
    </w:p>
    <w:p w14:paraId="6E55E541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wstęp wolny</w:t>
      </w:r>
    </w:p>
    <w:p w14:paraId="1B9C6137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</w:p>
    <w:p w14:paraId="594A2A7C" w14:textId="68BA4BDD" w:rsidR="00515C5E" w:rsidRPr="00515C5E" w:rsidRDefault="00434626" w:rsidP="00515C5E">
      <w:pPr>
        <w:pStyle w:val="Domylnie"/>
        <w:rPr>
          <w:rFonts w:ascii="Warsaw" w:hAnsi="Warsaw"/>
          <w:b/>
          <w:bCs/>
          <w:color w:val="auto"/>
          <w:shd w:val="clear" w:color="auto" w:fill="FFFFFF"/>
          <w:lang w:val="pl-PL"/>
        </w:rPr>
      </w:pPr>
      <w:r>
        <w:rPr>
          <w:rFonts w:ascii="Warsaw" w:hAnsi="Warsaw"/>
          <w:b/>
          <w:bCs/>
          <w:color w:val="auto"/>
          <w:shd w:val="clear" w:color="auto" w:fill="FFFFFF"/>
          <w:lang w:val="pl-PL"/>
        </w:rPr>
        <w:t>K</w:t>
      </w:r>
      <w:bookmarkStart w:id="0" w:name="_GoBack"/>
      <w:bookmarkEnd w:id="0"/>
      <w:r w:rsidR="00515C5E" w:rsidRPr="00515C5E">
        <w:rPr>
          <w:rFonts w:ascii="Warsaw" w:hAnsi="Warsaw"/>
          <w:b/>
          <w:bCs/>
          <w:color w:val="auto"/>
          <w:shd w:val="clear" w:color="auto" w:fill="FFFFFF"/>
          <w:lang w:val="pl-PL"/>
        </w:rPr>
        <w:t>atalogi wystaw</w:t>
      </w:r>
    </w:p>
    <w:p w14:paraId="0D4DD97D" w14:textId="5DC93892" w:rsidR="00515C5E" w:rsidRPr="00515C5E" w:rsidRDefault="00515C5E" w:rsidP="00515C5E">
      <w:pPr>
        <w:rPr>
          <w:rFonts w:ascii="Theinhardt Light" w:eastAsia="Times New Roman" w:hAnsi="Theinhardt Light" w:cs="Times New Roman"/>
          <w:lang w:eastAsia="pl-PL"/>
        </w:rPr>
      </w:pPr>
      <w:r w:rsidRPr="00515C5E">
        <w:rPr>
          <w:rFonts w:ascii="Theinhardt Light" w:eastAsia="Times New Roman" w:hAnsi="Theinhardt Light" w:cs="Calibri"/>
          <w:lang w:eastAsia="pl-PL"/>
        </w:rPr>
        <w:t>Wystawa „Chleb i róże. Artyści wobec podziałów klasowych”</w:t>
      </w:r>
      <w:r>
        <w:rPr>
          <w:rFonts w:ascii="Theinhardt Light" w:eastAsia="Times New Roman" w:hAnsi="Theinhardt Light" w:cs="Calibri"/>
          <w:lang w:eastAsia="pl-PL"/>
        </w:rPr>
        <w:t xml:space="preserve">: </w:t>
      </w:r>
      <w:hyperlink r:id="rId5" w:history="1">
        <w:r w:rsidRPr="00F97A48">
          <w:rPr>
            <w:rStyle w:val="Hipercze"/>
            <w:rFonts w:ascii="Theinhardt Light" w:eastAsia="Times New Roman" w:hAnsi="Theinhardt Light" w:cs="Calibri"/>
            <w:lang w:eastAsia="pl-PL"/>
          </w:rPr>
          <w:t>http://breadandroses.artmuseum.pl/</w:t>
        </w:r>
      </w:hyperlink>
      <w:r>
        <w:rPr>
          <w:rFonts w:ascii="Theinhardt Light" w:eastAsia="Times New Roman" w:hAnsi="Theinhardt Light" w:cs="Calibri"/>
          <w:lang w:eastAsia="pl-PL"/>
        </w:rPr>
        <w:t xml:space="preserve"> </w:t>
      </w:r>
      <w:r w:rsidRPr="003F4AEA">
        <w:rPr>
          <w:rFonts w:ascii="Theinhardt Light" w:eastAsia="Times New Roman" w:hAnsi="Theinhardt Light" w:cs="Times New Roman"/>
          <w:lang w:eastAsia="pl-PL"/>
        </w:rPr>
        <w:t xml:space="preserve"> </w:t>
      </w:r>
    </w:p>
    <w:p w14:paraId="7E9D5976" w14:textId="25F52269" w:rsidR="00515C5E" w:rsidRPr="00515C5E" w:rsidRDefault="00515C5E" w:rsidP="00515C5E">
      <w:pPr>
        <w:rPr>
          <w:rFonts w:ascii="Theinhardt Light" w:eastAsia="Times New Roman" w:hAnsi="Theinhardt Light" w:cs="Calibri"/>
          <w:lang w:eastAsia="pl-PL"/>
        </w:rPr>
      </w:pPr>
      <w:r w:rsidRPr="00515C5E">
        <w:rPr>
          <w:rFonts w:ascii="Theinhardt Light" w:eastAsia="Times New Roman" w:hAnsi="Theinhardt Light" w:cs="Times New Roman"/>
          <w:lang w:eastAsia="pl-PL"/>
        </w:rPr>
        <w:t xml:space="preserve">Wystawa </w:t>
      </w:r>
      <w:r w:rsidRPr="00515C5E">
        <w:rPr>
          <w:rFonts w:ascii="Theinhardt Light" w:eastAsia="Times New Roman" w:hAnsi="Theinhardt Light" w:cs="Calibri"/>
          <w:lang w:eastAsia="pl-PL"/>
        </w:rPr>
        <w:t>„Po co wojny są na świecie. Sztuka współczesnych outsiderów”</w:t>
      </w:r>
      <w:r>
        <w:rPr>
          <w:rFonts w:ascii="Theinhardt Light" w:eastAsia="Times New Roman" w:hAnsi="Theinhardt Light" w:cs="Calibri"/>
          <w:lang w:eastAsia="pl-PL"/>
        </w:rPr>
        <w:t xml:space="preserve">: </w:t>
      </w:r>
      <w:hyperlink r:id="rId6" w:history="1">
        <w:r w:rsidRPr="00F97A48">
          <w:rPr>
            <w:rStyle w:val="Hipercze"/>
            <w:rFonts w:ascii="Theinhardt Light" w:eastAsia="Times New Roman" w:hAnsi="Theinhardt Light" w:cs="Calibri"/>
            <w:lang w:eastAsia="pl-PL"/>
          </w:rPr>
          <w:t>http://outsiders.artmuseum.pl/</w:t>
        </w:r>
      </w:hyperlink>
      <w:r>
        <w:rPr>
          <w:rFonts w:ascii="Theinhardt Light" w:eastAsia="Times New Roman" w:hAnsi="Theinhardt Light" w:cs="Calibri"/>
          <w:lang w:eastAsia="pl-PL"/>
        </w:rPr>
        <w:t xml:space="preserve"> </w:t>
      </w:r>
    </w:p>
    <w:p w14:paraId="0D4CB709" w14:textId="0AE86D14" w:rsidR="00515C5E" w:rsidRPr="00515C5E" w:rsidRDefault="00515C5E" w:rsidP="00515C5E">
      <w:pPr>
        <w:rPr>
          <w:rFonts w:ascii="Theinhardt Light" w:eastAsia="Times New Roman" w:hAnsi="Theinhardt Light" w:cs="Calibri"/>
          <w:lang w:eastAsia="pl-PL"/>
        </w:rPr>
      </w:pPr>
      <w:r w:rsidRPr="00515C5E">
        <w:rPr>
          <w:rFonts w:ascii="Theinhardt Light" w:eastAsia="Times New Roman" w:hAnsi="Theinhardt Light" w:cs="Calibri"/>
          <w:lang w:eastAsia="pl-PL"/>
        </w:rPr>
        <w:t>Wystawa „Robiąc użytek. Życie w epoce postartystycznej”</w:t>
      </w:r>
      <w:r>
        <w:rPr>
          <w:rFonts w:ascii="Theinhardt Light" w:eastAsia="Times New Roman" w:hAnsi="Theinhardt Light" w:cs="Calibri"/>
          <w:lang w:eastAsia="pl-PL"/>
        </w:rPr>
        <w:t>:</w:t>
      </w:r>
      <w:r>
        <w:rPr>
          <w:rFonts w:ascii="Theinhardt Light" w:eastAsia="Times New Roman" w:hAnsi="Theinhardt Light" w:cs="Calibri"/>
          <w:lang w:eastAsia="pl-PL"/>
        </w:rPr>
        <w:br/>
      </w:r>
      <w:hyperlink r:id="rId7" w:history="1">
        <w:r w:rsidRPr="00F97A48">
          <w:rPr>
            <w:rStyle w:val="Hipercze"/>
            <w:rFonts w:ascii="Theinhardt Light" w:eastAsia="Times New Roman" w:hAnsi="Theinhardt Light" w:cs="Calibri"/>
            <w:lang w:eastAsia="pl-PL"/>
          </w:rPr>
          <w:t>http://makinguse.artmuseum.pl/</w:t>
        </w:r>
      </w:hyperlink>
      <w:r>
        <w:rPr>
          <w:rFonts w:ascii="Theinhardt Light" w:eastAsia="Times New Roman" w:hAnsi="Theinhardt Light" w:cs="Calibri"/>
          <w:lang w:eastAsia="pl-PL"/>
        </w:rPr>
        <w:t xml:space="preserve">  </w:t>
      </w:r>
    </w:p>
    <w:p w14:paraId="7048E812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</w:p>
    <w:p w14:paraId="37FBE550" w14:textId="77777777" w:rsidR="00515C5E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Kontakt dla mediów</w:t>
      </w:r>
    </w:p>
    <w:p w14:paraId="559901C2" w14:textId="77777777" w:rsidR="00515C5E" w:rsidRPr="00A70927" w:rsidRDefault="00515C5E" w:rsidP="00515C5E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prasa@artmuseum.pl</w:t>
      </w:r>
    </w:p>
    <w:p w14:paraId="720C5714" w14:textId="74F89D8E" w:rsidR="003F4AEA" w:rsidRPr="003F4AEA" w:rsidRDefault="003F4AEA" w:rsidP="00515C5E">
      <w:pPr>
        <w:rPr>
          <w:rFonts w:ascii="Theinhardt Light" w:hAnsi="Theinhardt Light"/>
        </w:rPr>
      </w:pPr>
    </w:p>
    <w:sectPr w:rsidR="003F4AEA" w:rsidRPr="003F4AEA" w:rsidSect="00DA1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EA"/>
    <w:rsid w:val="002D10F9"/>
    <w:rsid w:val="003F4AEA"/>
    <w:rsid w:val="00434626"/>
    <w:rsid w:val="004A51BE"/>
    <w:rsid w:val="00515C5E"/>
    <w:rsid w:val="00D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556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15C5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515C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breadandroses.artmuseum.pl/" TargetMode="External"/><Relationship Id="rId6" Type="http://schemas.openxmlformats.org/officeDocument/2006/relationships/hyperlink" Target="http://outsiders.artmuseum.pl/" TargetMode="External"/><Relationship Id="rId7" Type="http://schemas.openxmlformats.org/officeDocument/2006/relationships/hyperlink" Target="http://makinguse.artmuseum.p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3950</Characters>
  <Application>Microsoft Macintosh Word</Application>
  <DocSecurity>0</DocSecurity>
  <Lines>32</Lines>
  <Paragraphs>9</Paragraphs>
  <ScaleCrop>false</ScaleCrop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Wojtala</dc:creator>
  <cp:keywords/>
  <dc:description/>
  <cp:lastModifiedBy>Arletta Wojtala</cp:lastModifiedBy>
  <cp:revision>4</cp:revision>
  <cp:lastPrinted>2016-02-23T20:05:00Z</cp:lastPrinted>
  <dcterms:created xsi:type="dcterms:W3CDTF">2016-02-23T20:05:00Z</dcterms:created>
  <dcterms:modified xsi:type="dcterms:W3CDTF">2016-02-23T20:22:00Z</dcterms:modified>
</cp:coreProperties>
</file>